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2DB2C" w14:textId="77777777" w:rsidR="003115C2" w:rsidRDefault="003115C2" w:rsidP="00D627A9">
      <w:pPr>
        <w:jc w:val="center"/>
        <w:rPr>
          <w:b/>
          <w:sz w:val="36"/>
          <w:szCs w:val="36"/>
        </w:rPr>
      </w:pPr>
    </w:p>
    <w:p w14:paraId="3D8F041F" w14:textId="77777777" w:rsidR="002033E8" w:rsidRDefault="002033E8" w:rsidP="00D627A9">
      <w:pPr>
        <w:jc w:val="center"/>
        <w:rPr>
          <w:b/>
          <w:sz w:val="36"/>
          <w:szCs w:val="36"/>
        </w:rPr>
      </w:pPr>
    </w:p>
    <w:p w14:paraId="329DEAA3" w14:textId="77777777" w:rsidR="002033E8" w:rsidRDefault="002033E8" w:rsidP="00D627A9">
      <w:pPr>
        <w:jc w:val="center"/>
        <w:rPr>
          <w:b/>
          <w:sz w:val="36"/>
          <w:szCs w:val="36"/>
        </w:rPr>
      </w:pPr>
    </w:p>
    <w:p w14:paraId="6F3F2CBA" w14:textId="77777777" w:rsidR="002033E8" w:rsidRDefault="002033E8" w:rsidP="00D627A9">
      <w:pPr>
        <w:jc w:val="center"/>
        <w:rPr>
          <w:b/>
          <w:sz w:val="36"/>
          <w:szCs w:val="36"/>
        </w:rPr>
      </w:pPr>
    </w:p>
    <w:p w14:paraId="65A3E0A4" w14:textId="77777777" w:rsidR="002033E8" w:rsidRDefault="002033E8" w:rsidP="00D627A9">
      <w:pPr>
        <w:jc w:val="center"/>
        <w:rPr>
          <w:b/>
          <w:sz w:val="36"/>
          <w:szCs w:val="36"/>
        </w:rPr>
      </w:pPr>
    </w:p>
    <w:p w14:paraId="5AEDE432" w14:textId="38AEDACB" w:rsidR="004D0CF0" w:rsidRPr="004D0CF0" w:rsidRDefault="004D0CF0" w:rsidP="004D0CF0">
      <w:pPr>
        <w:spacing w:after="0" w:line="240" w:lineRule="auto"/>
        <w:jc w:val="center"/>
        <w:rPr>
          <w:rFonts w:ascii="Garamond" w:eastAsia="Times New Roman" w:hAnsi="Garamond" w:cs="ItcCenturyLight"/>
          <w:b/>
          <w:smallCaps/>
          <w:sz w:val="40"/>
          <w:szCs w:val="40"/>
          <w:lang w:eastAsia="it-IT"/>
        </w:rPr>
      </w:pPr>
      <w:r w:rsidRPr="004D0CF0">
        <w:rPr>
          <w:rFonts w:ascii="Garamond" w:eastAsia="Times New Roman" w:hAnsi="Garamond" w:cs="ItcCenturyLight"/>
          <w:b/>
          <w:smallCaps/>
          <w:sz w:val="40"/>
          <w:szCs w:val="40"/>
          <w:lang w:eastAsia="it-IT"/>
        </w:rPr>
        <w:t>R</w:t>
      </w:r>
      <w:r w:rsidR="001B03C6">
        <w:rPr>
          <w:rFonts w:ascii="Garamond" w:eastAsia="Times New Roman" w:hAnsi="Garamond" w:cs="ItcCenturyLight"/>
          <w:b/>
          <w:smallCaps/>
          <w:sz w:val="40"/>
          <w:szCs w:val="40"/>
          <w:lang w:eastAsia="it-IT"/>
        </w:rPr>
        <w:t>ELAZIONE SUL GOVERNO SOCIETARIO</w:t>
      </w:r>
    </w:p>
    <w:p w14:paraId="73582C3A" w14:textId="77777777" w:rsidR="004D0CF0" w:rsidRPr="004D0CF0" w:rsidRDefault="004D0CF0" w:rsidP="004D0CF0">
      <w:pPr>
        <w:spacing w:after="0" w:line="240" w:lineRule="auto"/>
        <w:jc w:val="center"/>
        <w:rPr>
          <w:rFonts w:ascii="Garamond" w:eastAsia="Times New Roman" w:hAnsi="Garamond" w:cs="ItcCenturyLight"/>
          <w:b/>
          <w:smallCaps/>
          <w:sz w:val="40"/>
          <w:szCs w:val="40"/>
          <w:lang w:eastAsia="it-IT"/>
        </w:rPr>
      </w:pPr>
      <w:r w:rsidRPr="004D0CF0">
        <w:rPr>
          <w:rFonts w:ascii="Garamond" w:eastAsia="Times New Roman" w:hAnsi="Garamond" w:cs="ItcCenturyLight"/>
          <w:b/>
          <w:smallCaps/>
          <w:sz w:val="40"/>
          <w:szCs w:val="40"/>
          <w:lang w:eastAsia="it-IT"/>
        </w:rPr>
        <w:t>contenente</w:t>
      </w:r>
    </w:p>
    <w:p w14:paraId="18A593A6" w14:textId="2A768863" w:rsidR="004D0CF0" w:rsidRPr="004D0CF0" w:rsidRDefault="004D0CF0" w:rsidP="004D0CF0">
      <w:pPr>
        <w:spacing w:after="0" w:line="240" w:lineRule="auto"/>
        <w:jc w:val="center"/>
        <w:rPr>
          <w:rFonts w:ascii="Garamond" w:eastAsia="Times New Roman" w:hAnsi="Garamond" w:cs="ItcCenturyLight"/>
          <w:b/>
          <w:smallCaps/>
          <w:sz w:val="40"/>
          <w:szCs w:val="40"/>
          <w:lang w:eastAsia="it-IT"/>
        </w:rPr>
      </w:pPr>
      <w:r w:rsidRPr="004D0CF0">
        <w:rPr>
          <w:rFonts w:ascii="Garamond" w:eastAsia="Times New Roman" w:hAnsi="Garamond" w:cs="ItcCenturyLight"/>
          <w:b/>
          <w:smallCaps/>
          <w:sz w:val="40"/>
          <w:szCs w:val="40"/>
          <w:lang w:eastAsia="it-IT"/>
        </w:rPr>
        <w:t>PROGRAMMA DI VA</w:t>
      </w:r>
      <w:r w:rsidR="00F215CC">
        <w:rPr>
          <w:rFonts w:ascii="Garamond" w:eastAsia="Times New Roman" w:hAnsi="Garamond" w:cs="ItcCenturyLight"/>
          <w:b/>
          <w:smallCaps/>
          <w:sz w:val="40"/>
          <w:szCs w:val="40"/>
          <w:lang w:eastAsia="it-IT"/>
        </w:rPr>
        <w:t>L</w:t>
      </w:r>
      <w:r w:rsidRPr="004D0CF0">
        <w:rPr>
          <w:rFonts w:ascii="Garamond" w:eastAsia="Times New Roman" w:hAnsi="Garamond" w:cs="ItcCenturyLight"/>
          <w:b/>
          <w:smallCaps/>
          <w:sz w:val="40"/>
          <w:szCs w:val="40"/>
          <w:lang w:eastAsia="it-IT"/>
        </w:rPr>
        <w:t>UTAZIONE DEL RISCHIO DI CRISI AZIENDALE</w:t>
      </w:r>
    </w:p>
    <w:p w14:paraId="231E1468" w14:textId="77777777" w:rsidR="004D0CF0" w:rsidRPr="004D0CF0" w:rsidRDefault="004D0CF0" w:rsidP="004D0CF0">
      <w:pPr>
        <w:spacing w:after="0" w:line="240" w:lineRule="auto"/>
        <w:jc w:val="center"/>
        <w:rPr>
          <w:rFonts w:ascii="Garamond" w:eastAsia="Times New Roman" w:hAnsi="Garamond" w:cs="ItcCenturyLight"/>
          <w:b/>
          <w:smallCaps/>
          <w:sz w:val="40"/>
          <w:szCs w:val="40"/>
          <w:lang w:val="en-US" w:eastAsia="it-IT"/>
        </w:rPr>
      </w:pPr>
      <w:r w:rsidRPr="004D0CF0">
        <w:rPr>
          <w:rFonts w:ascii="Garamond" w:eastAsia="Times New Roman" w:hAnsi="Garamond" w:cs="ItcCenturyLight"/>
          <w:b/>
          <w:smallCaps/>
          <w:sz w:val="40"/>
          <w:szCs w:val="40"/>
          <w:lang w:val="en-US" w:eastAsia="it-IT"/>
        </w:rPr>
        <w:t>(</w:t>
      </w:r>
      <w:r w:rsidRPr="00F803A3">
        <w:rPr>
          <w:rFonts w:cstheme="minorHAnsi"/>
          <w:b/>
          <w:bCs/>
          <w:color w:val="000000"/>
          <w:sz w:val="28"/>
          <w:szCs w:val="28"/>
          <w:lang w:val="en-US"/>
        </w:rPr>
        <w:t>EX ART. 6, CO. 2 E 4, D.LGS. 175/2016</w:t>
      </w:r>
      <w:r w:rsidRPr="004D0CF0">
        <w:rPr>
          <w:rFonts w:ascii="Garamond" w:eastAsia="Times New Roman" w:hAnsi="Garamond" w:cs="ItcCenturyLight"/>
          <w:b/>
          <w:smallCaps/>
          <w:sz w:val="40"/>
          <w:szCs w:val="40"/>
          <w:lang w:val="en-US" w:eastAsia="it-IT"/>
        </w:rPr>
        <w:t>)</w:t>
      </w:r>
    </w:p>
    <w:p w14:paraId="5401B019" w14:textId="77777777" w:rsidR="004D0CF0" w:rsidRPr="004D0CF0" w:rsidRDefault="004D0CF0" w:rsidP="004D0CF0">
      <w:pPr>
        <w:spacing w:after="0" w:line="240" w:lineRule="auto"/>
        <w:jc w:val="center"/>
        <w:rPr>
          <w:rFonts w:ascii="Garamond" w:eastAsia="Times New Roman" w:hAnsi="Garamond" w:cs="ItcCenturyLight"/>
          <w:smallCaps/>
          <w:sz w:val="40"/>
          <w:szCs w:val="40"/>
          <w:lang w:val="en-US" w:eastAsia="it-IT"/>
        </w:rPr>
      </w:pPr>
    </w:p>
    <w:p w14:paraId="5FCD9283" w14:textId="77777777" w:rsidR="004D0CF0" w:rsidRPr="004D0CF0" w:rsidRDefault="004D0CF0" w:rsidP="004D0CF0">
      <w:pPr>
        <w:spacing w:after="0" w:line="240" w:lineRule="auto"/>
        <w:rPr>
          <w:rFonts w:ascii="Cambria" w:eastAsia="MS Mincho" w:hAnsi="Cambria" w:cs="Times New Roman"/>
          <w:sz w:val="24"/>
          <w:szCs w:val="24"/>
          <w:lang w:val="en-US" w:eastAsia="it-IT"/>
        </w:rPr>
      </w:pPr>
    </w:p>
    <w:p w14:paraId="6C7A86DA" w14:textId="77777777" w:rsidR="000A42BD" w:rsidRPr="00F803A3" w:rsidRDefault="000A42BD" w:rsidP="000A42BD">
      <w:pPr>
        <w:spacing w:after="0" w:line="240" w:lineRule="auto"/>
        <w:jc w:val="center"/>
        <w:rPr>
          <w:rFonts w:ascii="Calibri" w:eastAsia="MS Mincho" w:hAnsi="Calibri" w:cs="Calibri"/>
          <w:b/>
          <w:color w:val="000000"/>
          <w:sz w:val="20"/>
          <w:szCs w:val="20"/>
          <w:lang w:val="en-US" w:eastAsia="it-IT"/>
        </w:rPr>
      </w:pPr>
    </w:p>
    <w:p w14:paraId="33943C2D" w14:textId="77777777" w:rsidR="000A42BD" w:rsidRPr="00F803A3" w:rsidRDefault="000A42BD" w:rsidP="000A42BD">
      <w:pPr>
        <w:spacing w:after="0" w:line="240" w:lineRule="auto"/>
        <w:jc w:val="center"/>
        <w:rPr>
          <w:rFonts w:ascii="Calibri" w:eastAsia="MS Mincho" w:hAnsi="Calibri" w:cs="Calibri"/>
          <w:b/>
          <w:color w:val="000000"/>
          <w:sz w:val="20"/>
          <w:szCs w:val="20"/>
          <w:lang w:val="en-US" w:eastAsia="it-IT"/>
        </w:rPr>
      </w:pPr>
    </w:p>
    <w:p w14:paraId="58D5623D"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0D269A7A"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1D00E568"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466D8B44"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73848A4A"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3EBA29E0"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06E54CEC"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25C4A558"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0407EFDF"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3F89FBC1"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2B8BE85E"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315E1C0A"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026686D3"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324F024D"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1C181FEA"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648D199D"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141C926D"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272A12C7"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141F1218" w14:textId="77777777" w:rsidR="002033E8" w:rsidRPr="00F803A3" w:rsidRDefault="002033E8" w:rsidP="000A42BD">
      <w:pPr>
        <w:spacing w:after="0" w:line="240" w:lineRule="auto"/>
        <w:jc w:val="center"/>
        <w:rPr>
          <w:rFonts w:ascii="Calibri" w:eastAsia="MS Mincho" w:hAnsi="Calibri" w:cs="Calibri"/>
          <w:b/>
          <w:color w:val="000000"/>
          <w:sz w:val="20"/>
          <w:szCs w:val="20"/>
          <w:lang w:val="en-US" w:eastAsia="it-IT"/>
        </w:rPr>
      </w:pPr>
    </w:p>
    <w:p w14:paraId="0705E63C" w14:textId="77777777" w:rsidR="000A42BD" w:rsidRPr="00F803A3" w:rsidRDefault="000A42BD" w:rsidP="000A42BD">
      <w:pPr>
        <w:spacing w:after="0" w:line="240" w:lineRule="auto"/>
        <w:jc w:val="center"/>
        <w:rPr>
          <w:rFonts w:ascii="Calibri" w:eastAsia="MS Mincho" w:hAnsi="Calibri" w:cs="Calibri"/>
          <w:b/>
          <w:color w:val="000000"/>
          <w:sz w:val="20"/>
          <w:szCs w:val="20"/>
          <w:lang w:val="en-US" w:eastAsia="it-IT"/>
        </w:rPr>
      </w:pPr>
    </w:p>
    <w:p w14:paraId="085E322A" w14:textId="77777777" w:rsidR="000A42BD" w:rsidRPr="00F803A3" w:rsidRDefault="000A42BD" w:rsidP="000A42BD">
      <w:pPr>
        <w:spacing w:after="0" w:line="240" w:lineRule="auto"/>
        <w:jc w:val="center"/>
        <w:rPr>
          <w:rFonts w:ascii="Calibri" w:eastAsia="MS Mincho" w:hAnsi="Calibri" w:cs="Calibri"/>
          <w:b/>
          <w:color w:val="000000"/>
          <w:sz w:val="20"/>
          <w:szCs w:val="20"/>
          <w:lang w:val="en-US" w:eastAsia="it-IT"/>
        </w:rPr>
      </w:pPr>
    </w:p>
    <w:p w14:paraId="2DA285F8" w14:textId="77777777" w:rsidR="00056F03" w:rsidRPr="00C76540" w:rsidRDefault="00056F03" w:rsidP="004D0CF0">
      <w:pPr>
        <w:tabs>
          <w:tab w:val="left" w:pos="0"/>
          <w:tab w:val="left" w:pos="1418"/>
          <w:tab w:val="left" w:pos="2835"/>
          <w:tab w:val="left" w:pos="4252"/>
        </w:tabs>
        <w:autoSpaceDE w:val="0"/>
        <w:autoSpaceDN w:val="0"/>
        <w:adjustRightInd w:val="0"/>
        <w:spacing w:before="220" w:after="0" w:line="25" w:lineRule="atLeast"/>
        <w:jc w:val="center"/>
        <w:rPr>
          <w:rFonts w:ascii="Arial" w:eastAsia="Times New Roman" w:hAnsi="Arial" w:cs="Arial"/>
          <w:b/>
          <w:i/>
          <w:sz w:val="32"/>
          <w:szCs w:val="20"/>
          <w:lang w:val="en-US" w:eastAsia="it-IT"/>
        </w:rPr>
        <w:sectPr w:rsidR="00056F03" w:rsidRPr="00C76540" w:rsidSect="000A42BD">
          <w:headerReference w:type="default" r:id="rId8"/>
          <w:footerReference w:type="default" r:id="rId9"/>
          <w:headerReference w:type="first" r:id="rId10"/>
          <w:pgSz w:w="11906" w:h="16838" w:code="9"/>
          <w:pgMar w:top="1985" w:right="1418" w:bottom="1418" w:left="1418" w:header="709" w:footer="709" w:gutter="0"/>
          <w:pgNumType w:start="1"/>
          <w:cols w:space="708"/>
          <w:titlePg/>
          <w:docGrid w:linePitch="360"/>
        </w:sectPr>
      </w:pPr>
    </w:p>
    <w:p w14:paraId="2065CB31" w14:textId="77777777" w:rsidR="004D0CF0" w:rsidRPr="004D0CF0" w:rsidRDefault="004D0CF0" w:rsidP="004D0CF0">
      <w:pPr>
        <w:spacing w:after="0" w:line="240" w:lineRule="auto"/>
        <w:jc w:val="center"/>
        <w:rPr>
          <w:rFonts w:ascii="Garamond" w:eastAsia="MS Mincho" w:hAnsi="Garamond" w:cs="Times New Roman"/>
          <w:b/>
          <w:sz w:val="36"/>
          <w:szCs w:val="36"/>
          <w:lang w:eastAsia="it-IT"/>
        </w:rPr>
      </w:pPr>
      <w:r w:rsidRPr="004D0CF0">
        <w:rPr>
          <w:rFonts w:ascii="Garamond" w:eastAsia="MS Mincho" w:hAnsi="Garamond" w:cs="Times New Roman"/>
          <w:b/>
          <w:sz w:val="36"/>
          <w:szCs w:val="36"/>
          <w:lang w:eastAsia="it-IT"/>
        </w:rPr>
        <w:lastRenderedPageBreak/>
        <w:t xml:space="preserve">RELAZIONE SUL GOVERNO SOCIETARIO </w:t>
      </w:r>
    </w:p>
    <w:p w14:paraId="7C30D5F6" w14:textId="77777777" w:rsidR="004D0CF0" w:rsidRPr="004D0CF0" w:rsidRDefault="004D0CF0" w:rsidP="004D0CF0">
      <w:pPr>
        <w:spacing w:after="0" w:line="240" w:lineRule="auto"/>
        <w:jc w:val="center"/>
        <w:rPr>
          <w:rFonts w:ascii="Garamond" w:eastAsia="MS Mincho" w:hAnsi="Garamond" w:cs="Times New Roman"/>
          <w:b/>
          <w:sz w:val="36"/>
          <w:szCs w:val="36"/>
          <w:lang w:eastAsia="it-IT"/>
        </w:rPr>
      </w:pPr>
      <w:r w:rsidRPr="004D0CF0">
        <w:rPr>
          <w:rFonts w:ascii="Garamond" w:eastAsia="MS Mincho" w:hAnsi="Garamond" w:cs="Times New Roman"/>
          <w:b/>
          <w:sz w:val="36"/>
          <w:szCs w:val="36"/>
          <w:lang w:eastAsia="it-IT"/>
        </w:rPr>
        <w:t>EX ART. 6, CO. 4, D.LGS. 175/2016</w:t>
      </w:r>
    </w:p>
    <w:p w14:paraId="207EF4E1"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41852C96"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 Società, in quanto società a controllo pubblico di cui all’art. 2, co.1, lett. m) del d.lgs. 175/2016 (Testo unico in materia di società a partecipazione pubblica”), è tenuta - ai sensi dell’art. 6, co. 4, d.lgs. cit. - a predisporre annualmente, a chiusura dell’esercizio sociale, e a pubblicare contestualmente al bilancio di esercizio, la relazione sul governo societario, la quale deve contenere:</w:t>
      </w:r>
    </w:p>
    <w:p w14:paraId="2D0C4FF5"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4C643F32" w14:textId="590270FE" w:rsidR="004D0CF0" w:rsidRPr="004D0CF0"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Uno</w:t>
      </w:r>
      <w:r w:rsidR="004D0CF0" w:rsidRPr="004D0CF0">
        <w:rPr>
          <w:rFonts w:ascii="Garamond" w:eastAsia="MS Mincho" w:hAnsi="Garamond" w:cs="Times New Roman"/>
          <w:sz w:val="24"/>
          <w:szCs w:val="24"/>
          <w:lang w:eastAsia="it-IT"/>
        </w:rPr>
        <w:t xml:space="preserve"> specifico programma di valutazione del rischio aziendale (art. 6, co. 2, d.lgs. cit.);</w:t>
      </w:r>
    </w:p>
    <w:p w14:paraId="3CD94F29" w14:textId="4AB81E47" w:rsidR="004D0CF0" w:rsidRPr="00F810B6"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F810B6">
        <w:rPr>
          <w:rFonts w:ascii="Garamond" w:eastAsia="MS Mincho" w:hAnsi="Garamond" w:cs="Times New Roman"/>
          <w:sz w:val="24"/>
          <w:szCs w:val="24"/>
          <w:lang w:eastAsia="it-IT"/>
        </w:rPr>
        <w:t>L’indicazione</w:t>
      </w:r>
      <w:r w:rsidR="004D0CF0" w:rsidRPr="00F810B6">
        <w:rPr>
          <w:rFonts w:ascii="Garamond" w:eastAsia="MS Mincho" w:hAnsi="Garamond" w:cs="Times New Roman"/>
          <w:sz w:val="24"/>
          <w:szCs w:val="24"/>
          <w:lang w:eastAsia="it-IT"/>
        </w:rPr>
        <w:t xml:space="preserve"> degli strumenti integrativi di governo societario adottati ai sensi dell’art. 6, co. 3; ovvero delle ragioni della loro mancata adozione (art. 6, co. 5).</w:t>
      </w:r>
    </w:p>
    <w:p w14:paraId="77BEA43E"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67AFE23F" w14:textId="77777777" w:rsidR="004D0CF0" w:rsidRPr="004D0CF0" w:rsidRDefault="004D0CF0" w:rsidP="004D0CF0">
      <w:pPr>
        <w:spacing w:after="0" w:line="240" w:lineRule="auto"/>
        <w:ind w:left="360" w:hanging="360"/>
        <w:jc w:val="both"/>
        <w:rPr>
          <w:rFonts w:ascii="Garamond" w:eastAsia="MS Mincho" w:hAnsi="Garamond" w:cs="Times New Roman"/>
          <w:b/>
          <w:sz w:val="28"/>
          <w:szCs w:val="28"/>
          <w:lang w:eastAsia="it-IT"/>
        </w:rPr>
      </w:pPr>
      <w:r w:rsidRPr="004D0CF0">
        <w:rPr>
          <w:rFonts w:ascii="Garamond" w:eastAsia="MS Mincho" w:hAnsi="Garamond" w:cs="Times New Roman"/>
          <w:b/>
          <w:sz w:val="28"/>
          <w:szCs w:val="28"/>
          <w:lang w:eastAsia="it-IT"/>
        </w:rPr>
        <w:t>A.</w:t>
      </w:r>
      <w:r w:rsidRPr="004D0CF0">
        <w:rPr>
          <w:rFonts w:ascii="Garamond" w:eastAsia="MS Mincho" w:hAnsi="Garamond" w:cs="Times New Roman"/>
          <w:b/>
          <w:sz w:val="28"/>
          <w:szCs w:val="28"/>
          <w:lang w:eastAsia="it-IT"/>
        </w:rPr>
        <w:tab/>
        <w:t>PROGRAMMA DI VALUTAZIONE DEL RISCHIO DI CRISI AZIENDALE EX ART. 6, CO. 2, D.LGS. 175/2016.</w:t>
      </w:r>
    </w:p>
    <w:p w14:paraId="61877150"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412EF84"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Ai sensi dell’art. 6, co. 2 del d.lgs. 175/2016:</w:t>
      </w:r>
    </w:p>
    <w:p w14:paraId="057B728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w:t>
      </w:r>
      <w:r w:rsidRPr="004D0CF0">
        <w:rPr>
          <w:rFonts w:ascii="Garamond" w:eastAsia="MS Mincho" w:hAnsi="Garamond" w:cs="Times New Roman"/>
          <w:i/>
          <w:sz w:val="24"/>
          <w:szCs w:val="24"/>
          <w:lang w:eastAsia="it-IT"/>
        </w:rPr>
        <w:t>Le società a controllo pubblico predispongono specifici programmi di valutazione del rischio di crisi aziendale e ne informano l’assemblea nell’ambito della relazione di cui al comma 4</w:t>
      </w:r>
      <w:r w:rsidRPr="004D0CF0">
        <w:rPr>
          <w:rFonts w:ascii="Garamond" w:eastAsia="MS Mincho" w:hAnsi="Garamond" w:cs="Times New Roman"/>
          <w:sz w:val="24"/>
          <w:szCs w:val="24"/>
          <w:lang w:eastAsia="it-IT"/>
        </w:rPr>
        <w:t>”.</w:t>
      </w:r>
    </w:p>
    <w:p w14:paraId="6BE6254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7731B68A"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Ai sensi del successivo art. 14:</w:t>
      </w:r>
    </w:p>
    <w:p w14:paraId="4934B58F"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w:t>
      </w:r>
      <w:r w:rsidRPr="004D0CF0">
        <w:rPr>
          <w:rFonts w:ascii="Garamond" w:eastAsia="MS Mincho" w:hAnsi="Garamond" w:cs="Times New Roman"/>
          <w:i/>
          <w:sz w:val="24"/>
          <w:szCs w:val="24"/>
          <w:lang w:eastAsia="it-IT"/>
        </w:rPr>
        <w:t xml:space="preserve">Qualora emergano nell’ambito dei programmi di valutazione del rischio di cui all’articolo 6, comma 2, uno o più indicatori di crisi aziendale, l’organo amministrativo della società a controllo pubblico adotta senza indugio i provvedimenti necessari al fine di prevenire l’aggravamento della crisi, di correggerne gli effetti ed eliminarne le cause, attraverso un idoneo piano di risanamento </w:t>
      </w:r>
      <w:r w:rsidRPr="004D0CF0">
        <w:rPr>
          <w:rFonts w:ascii="Garamond" w:eastAsia="MS Mincho" w:hAnsi="Garamond" w:cs="Times New Roman"/>
          <w:sz w:val="24"/>
          <w:szCs w:val="24"/>
          <w:lang w:eastAsia="it-IT"/>
        </w:rPr>
        <w:t>[co.2].</w:t>
      </w:r>
    </w:p>
    <w:p w14:paraId="0625F84F"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i/>
          <w:sz w:val="24"/>
          <w:szCs w:val="24"/>
          <w:lang w:eastAsia="it-IT"/>
        </w:rPr>
        <w:t>Quando si determini la situazione di cui al comma 2, la mancata adozione di provvedimenti adeguati, da parte dell’organo amministrativo, costituisce grave irregolarità, ai sensi dell’articolo 2409 del codice civile</w:t>
      </w:r>
      <w:r w:rsidRPr="004D0CF0">
        <w:rPr>
          <w:rFonts w:ascii="Garamond" w:eastAsia="MS Mincho" w:hAnsi="Garamond" w:cs="Times New Roman"/>
          <w:sz w:val="24"/>
          <w:szCs w:val="24"/>
          <w:lang w:eastAsia="it-IT"/>
        </w:rPr>
        <w:t xml:space="preserve"> [co.3].</w:t>
      </w:r>
    </w:p>
    <w:p w14:paraId="79B39B81"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i/>
          <w:sz w:val="24"/>
          <w:szCs w:val="24"/>
          <w:lang w:eastAsia="it-IT"/>
        </w:rPr>
        <w:t xml:space="preserve">Non costituisce provvedimento adeguato, ai sensi dei commi 1 e 2, la previsione di un ripianamento delle perdite da parte dell’amministrazione o delle amministrazioni pubbliche socie, anche se attuato in concomitanza a un aumento di capitale o ad un trasferimento straordinario di partecipazioni o al rilascio di garanzie o in qualsiasi altra forma giuridica, a meno che tale intervento sia accompagnato da un piano di ristrutturazione aziendale, dal quale risulti comprovata la sussistenza di concrete prospettive di recupero dell’equilibrio economico delle attività svolte, approvato ai sensi del comma 2, anche in deroga al comma 5 </w:t>
      </w:r>
      <w:r w:rsidRPr="004D0CF0">
        <w:rPr>
          <w:rFonts w:ascii="Garamond" w:eastAsia="MS Mincho" w:hAnsi="Garamond" w:cs="Times New Roman"/>
          <w:sz w:val="24"/>
          <w:szCs w:val="24"/>
          <w:lang w:eastAsia="it-IT"/>
        </w:rPr>
        <w:t>[co.4].</w:t>
      </w:r>
    </w:p>
    <w:p w14:paraId="7A619587"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i/>
          <w:sz w:val="24"/>
          <w:szCs w:val="24"/>
          <w:lang w:eastAsia="it-IT"/>
        </w:rPr>
        <w:t xml:space="preserve">Le amministrazioni di cui all’articolo 1, comma 3, della legge 31 dicembre 2009, n. 196, non possono, salvo quanto previsto dagli articoli 2447 e 2482-ter del codice civile, sottoscrivere aumenti di capitale, effettuare trasferimenti straordinari, aperture di credito, né rilasciare garanzie a favore delle società partecipate, con esclusione delle società quotate e degli istituti di credito, che abbiano registrato, per tre esercizi consecutivi, perdite di esercizio ovvero che abbiano utilizzato riserve disponibili per il ripianamento di perdite anche infrannuali. Sono in ogni caso consentiti i trasferimenti straordinari alle società di cui al primo periodo, a fronte di convenzioni, contratti di servizio o di programma relativi allo svolgimento di servizi di pubblico interesse ovvero alla realizzazione di investimenti, purché le misure indicate siano contemplate in un piano di risanamento, approvato dall’Autorità di regolazione di settore ove esistente e comunicato alla Corte di conti con le modalità di cui all’articolo 5, che contempli il raggiungimento dell’equilibrio finanziario entro tre anni. Al fine di salvaguardare la continuità nella prestazione di servizi di pubblico interesse, a fronte di gravi pericoli per la sicurezza pubblica, l’ordine pubblico e la sanità, su richiesta dell’amministrazione interessata, con decreto del Presidente del Consiglio dei ministri, adottato su proposta del Ministro dell’economia e delle finanze, di concerto con gli altri Ministri competenti e soggetto a registrazione della Corte dei conti, possono essere autorizzati gli interventi di cui al primo periodo del presente comma </w:t>
      </w:r>
      <w:r w:rsidRPr="004D0CF0">
        <w:rPr>
          <w:rFonts w:ascii="Garamond" w:eastAsia="MS Mincho" w:hAnsi="Garamond" w:cs="Times New Roman"/>
          <w:sz w:val="24"/>
          <w:szCs w:val="24"/>
          <w:lang w:eastAsia="it-IT"/>
        </w:rPr>
        <w:t>[co. 5]”.</w:t>
      </w:r>
    </w:p>
    <w:p w14:paraId="0CB24B04"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EF48C61" w14:textId="29A2A796"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lastRenderedPageBreak/>
        <w:t xml:space="preserve">In conformità alle richiamate disposizioni normative, l’organo amministrativo della Società ha predisposto il presente Programma di valutazione del rischio di crisi aziendale, approvato con deliberazione </w:t>
      </w:r>
      <w:r w:rsidRPr="00F215CC">
        <w:rPr>
          <w:rFonts w:ascii="Garamond" w:eastAsia="MS Mincho" w:hAnsi="Garamond" w:cs="Times New Roman"/>
          <w:sz w:val="24"/>
          <w:szCs w:val="24"/>
          <w:highlight w:val="yellow"/>
          <w:lang w:eastAsia="it-IT"/>
        </w:rPr>
        <w:t xml:space="preserve">del </w:t>
      </w:r>
      <w:r w:rsidR="00C76540" w:rsidRPr="00F215CC">
        <w:rPr>
          <w:rFonts w:ascii="Garamond" w:eastAsia="MS Mincho" w:hAnsi="Garamond" w:cs="Times New Roman"/>
          <w:sz w:val="24"/>
          <w:szCs w:val="24"/>
          <w:highlight w:val="yellow"/>
          <w:lang w:eastAsia="it-IT"/>
        </w:rPr>
        <w:t>10 giugno 2019</w:t>
      </w:r>
      <w:r w:rsidR="00C76540" w:rsidRPr="00C76540">
        <w:rPr>
          <w:rFonts w:ascii="Garamond" w:eastAsia="MS Mincho" w:hAnsi="Garamond" w:cs="Times New Roman"/>
          <w:sz w:val="24"/>
          <w:szCs w:val="24"/>
          <w:lang w:eastAsia="it-IT"/>
        </w:rPr>
        <w:t xml:space="preserve"> </w:t>
      </w:r>
      <w:r w:rsidR="00D66B95" w:rsidRPr="00C76540">
        <w:rPr>
          <w:rFonts w:ascii="Garamond" w:eastAsia="MS Mincho" w:hAnsi="Garamond" w:cs="Times New Roman"/>
          <w:sz w:val="24"/>
          <w:szCs w:val="24"/>
          <w:lang w:eastAsia="it-IT"/>
        </w:rPr>
        <w:t>che</w:t>
      </w:r>
      <w:r w:rsidRPr="004D0CF0">
        <w:rPr>
          <w:rFonts w:ascii="Garamond" w:eastAsia="MS Mincho" w:hAnsi="Garamond" w:cs="Times New Roman"/>
          <w:sz w:val="24"/>
          <w:szCs w:val="24"/>
          <w:lang w:eastAsia="it-IT"/>
        </w:rPr>
        <w:t xml:space="preserve"> rimarrà in vigore sino a diversa successiva deliberazione dell’organo amministrativo, che potrà aggiornarlo e implementarlo </w:t>
      </w:r>
      <w:r w:rsidR="00D66B95" w:rsidRPr="004D0CF0">
        <w:rPr>
          <w:rFonts w:ascii="Garamond" w:eastAsia="MS Mincho" w:hAnsi="Garamond" w:cs="Times New Roman"/>
          <w:sz w:val="24"/>
          <w:szCs w:val="24"/>
          <w:lang w:eastAsia="it-IT"/>
        </w:rPr>
        <w:t>in ragione</w:t>
      </w:r>
      <w:r w:rsidRPr="004D0CF0">
        <w:rPr>
          <w:rFonts w:ascii="Garamond" w:eastAsia="MS Mincho" w:hAnsi="Garamond" w:cs="Times New Roman"/>
          <w:sz w:val="24"/>
          <w:szCs w:val="24"/>
          <w:lang w:eastAsia="it-IT"/>
        </w:rPr>
        <w:t xml:space="preserve"> delle mutate dimensioni e complessità dell’impresa della Società.</w:t>
      </w:r>
    </w:p>
    <w:p w14:paraId="76BA3A5B"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615D9C15" w14:textId="77777777" w:rsidR="004D0CF0" w:rsidRPr="004D0CF0" w:rsidRDefault="004D0CF0" w:rsidP="004D0CF0">
      <w:pPr>
        <w:spacing w:after="0" w:line="240" w:lineRule="auto"/>
        <w:jc w:val="both"/>
        <w:rPr>
          <w:rFonts w:ascii="Garamond" w:eastAsia="MS Mincho" w:hAnsi="Garamond" w:cs="Times New Roman"/>
          <w:b/>
          <w:sz w:val="24"/>
          <w:szCs w:val="24"/>
          <w:lang w:eastAsia="it-IT"/>
        </w:rPr>
      </w:pPr>
      <w:r w:rsidRPr="004D0CF0">
        <w:rPr>
          <w:rFonts w:ascii="Garamond" w:eastAsia="MS Mincho" w:hAnsi="Garamond" w:cs="Times New Roman"/>
          <w:b/>
          <w:sz w:val="24"/>
          <w:szCs w:val="24"/>
          <w:lang w:eastAsia="it-IT"/>
        </w:rPr>
        <w:t>1.</w:t>
      </w:r>
      <w:r w:rsidRPr="004D0CF0">
        <w:rPr>
          <w:rFonts w:ascii="Garamond" w:eastAsia="MS Mincho" w:hAnsi="Garamond" w:cs="Times New Roman"/>
          <w:b/>
          <w:sz w:val="24"/>
          <w:szCs w:val="24"/>
          <w:lang w:eastAsia="it-IT"/>
        </w:rPr>
        <w:tab/>
      </w:r>
      <w:r w:rsidRPr="004D0CF0">
        <w:rPr>
          <w:rFonts w:ascii="Garamond" w:eastAsia="MS Mincho" w:hAnsi="Garamond" w:cs="Times New Roman"/>
          <w:b/>
          <w:bCs/>
          <w:smallCaps/>
          <w:sz w:val="24"/>
          <w:szCs w:val="24"/>
          <w:lang w:eastAsia="it-IT"/>
        </w:rPr>
        <w:t>Definizioni</w:t>
      </w:r>
      <w:r w:rsidRPr="004D0CF0">
        <w:rPr>
          <w:rFonts w:ascii="Garamond" w:eastAsia="MS Mincho" w:hAnsi="Garamond" w:cs="Times New Roman"/>
          <w:b/>
          <w:sz w:val="24"/>
          <w:szCs w:val="24"/>
          <w:lang w:eastAsia="it-IT"/>
        </w:rPr>
        <w:t>.</w:t>
      </w:r>
    </w:p>
    <w:p w14:paraId="5F39C88A"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46CF3A16" w14:textId="77777777" w:rsidR="004D0CF0" w:rsidRPr="004D0CF0" w:rsidRDefault="004D0CF0" w:rsidP="004D0CF0">
      <w:pPr>
        <w:spacing w:after="0" w:line="240" w:lineRule="auto"/>
        <w:jc w:val="both"/>
        <w:rPr>
          <w:rFonts w:ascii="Garamond" w:eastAsia="MS Mincho" w:hAnsi="Garamond" w:cs="Times New Roman"/>
          <w:b/>
          <w:sz w:val="24"/>
          <w:szCs w:val="24"/>
          <w:lang w:eastAsia="it-IT"/>
        </w:rPr>
      </w:pPr>
      <w:r w:rsidRPr="004D0CF0">
        <w:rPr>
          <w:rFonts w:ascii="Garamond" w:eastAsia="MS Mincho" w:hAnsi="Garamond" w:cs="Times New Roman"/>
          <w:b/>
          <w:sz w:val="24"/>
          <w:szCs w:val="24"/>
          <w:lang w:eastAsia="it-IT"/>
        </w:rPr>
        <w:t>1.1.</w:t>
      </w:r>
      <w:r w:rsidRPr="004D0CF0">
        <w:rPr>
          <w:rFonts w:ascii="Garamond" w:eastAsia="MS Mincho" w:hAnsi="Garamond" w:cs="Times New Roman"/>
          <w:b/>
          <w:sz w:val="24"/>
          <w:szCs w:val="24"/>
          <w:lang w:eastAsia="it-IT"/>
        </w:rPr>
        <w:tab/>
        <w:t>Continuità aziendale</w:t>
      </w:r>
    </w:p>
    <w:p w14:paraId="16F443A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33D4E39E"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Il principio di continuità aziendale è richiamato dall’art. 2423-</w:t>
      </w:r>
      <w:r w:rsidRPr="004D0CF0">
        <w:rPr>
          <w:rFonts w:ascii="Garamond" w:eastAsia="MS Mincho" w:hAnsi="Garamond" w:cs="Times New Roman"/>
          <w:i/>
          <w:sz w:val="24"/>
          <w:szCs w:val="24"/>
          <w:lang w:eastAsia="it-IT"/>
        </w:rPr>
        <w:t>bis</w:t>
      </w:r>
      <w:r w:rsidRPr="004D0CF0">
        <w:rPr>
          <w:rFonts w:ascii="Garamond" w:eastAsia="MS Mincho" w:hAnsi="Garamond" w:cs="Times New Roman"/>
          <w:sz w:val="24"/>
          <w:szCs w:val="24"/>
          <w:lang w:eastAsia="it-IT"/>
        </w:rPr>
        <w:t>, cod. civ. che, in tema di principi di redazione del bilancio, al co. 1, n. 1, recita: “</w:t>
      </w:r>
      <w:r w:rsidRPr="004D0CF0">
        <w:rPr>
          <w:rFonts w:ascii="Garamond" w:eastAsia="MS Mincho" w:hAnsi="Garamond" w:cs="Times New Roman"/>
          <w:i/>
          <w:sz w:val="24"/>
          <w:szCs w:val="24"/>
          <w:lang w:eastAsia="it-IT"/>
        </w:rPr>
        <w:t>la valutazione delle voci deve essere fatta secondo prudenza e nella prospettiva della continuazione dell'attività</w:t>
      </w:r>
      <w:r w:rsidRPr="004D0CF0">
        <w:rPr>
          <w:rFonts w:ascii="Garamond" w:eastAsia="MS Mincho" w:hAnsi="Garamond" w:cs="Times New Roman"/>
          <w:sz w:val="24"/>
          <w:szCs w:val="24"/>
          <w:lang w:eastAsia="it-IT"/>
        </w:rPr>
        <w:t>”.</w:t>
      </w:r>
    </w:p>
    <w:p w14:paraId="092CFED7"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E393ACD"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 nozione di continuità aziendale indica la capacità dell’azienda di conseguire risultati positivi e generare correlati flussi finanziari nel tempo.</w:t>
      </w:r>
    </w:p>
    <w:p w14:paraId="149182E6"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D575C6A"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Si tratta del presupposto affinché l’azienda operi e possa continuare a operare nel prevedibile futuro come azienda in funzionamento e creare valore, il che implica il mantenimento di un equilibrio economico-finanziario.</w:t>
      </w:r>
    </w:p>
    <w:p w14:paraId="0B812474"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746036BA"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L’azienda, nella prospettiva della continuazione dell’attività, costituisce -come indicato nell’OIC 11 (§ 22), -un complesso economico funzionante destinato alla produzione di reddito per un prevedibile arco temporale futuro, relativo a un periodo di almeno dodici mesi dalla data di riferimento del bilancio.</w:t>
      </w:r>
    </w:p>
    <w:p w14:paraId="2A206D71"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391342DF"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Nei casi in cui, a seguito di tale valutazione prospettica, siano identificate significative incertezze in merito a tale capacità, dovranno essere chiaramente fornite nella nota integrativa le informazioni relative ai fattori di rischio, alle assunzioni effettuate e alle incertezze identificate, nonché ai piani aziendali futuri per far fronte a tali rischi e incertezze. Dovranno inoltre essere esplicitate le ragioni che qualificano come significative le incertezze esposte e le ricadute che esse possono avere sulla continuità aziendale.</w:t>
      </w:r>
    </w:p>
    <w:p w14:paraId="32F92F0B"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C8E7E28" w14:textId="77777777" w:rsidR="004D0CF0" w:rsidRPr="004D0CF0" w:rsidRDefault="004D0CF0" w:rsidP="004D0CF0">
      <w:pPr>
        <w:spacing w:after="0" w:line="240" w:lineRule="auto"/>
        <w:jc w:val="both"/>
        <w:rPr>
          <w:rFonts w:ascii="Garamond" w:eastAsia="MS Mincho" w:hAnsi="Garamond" w:cs="Times New Roman"/>
          <w:b/>
          <w:sz w:val="24"/>
          <w:szCs w:val="24"/>
          <w:lang w:eastAsia="it-IT"/>
        </w:rPr>
      </w:pPr>
      <w:r w:rsidRPr="004D0CF0">
        <w:rPr>
          <w:rFonts w:ascii="Garamond" w:eastAsia="MS Mincho" w:hAnsi="Garamond" w:cs="Times New Roman"/>
          <w:b/>
          <w:sz w:val="24"/>
          <w:szCs w:val="24"/>
          <w:lang w:eastAsia="it-IT"/>
        </w:rPr>
        <w:t>1.2.</w:t>
      </w:r>
      <w:r w:rsidRPr="004D0CF0">
        <w:rPr>
          <w:rFonts w:ascii="Garamond" w:eastAsia="MS Mincho" w:hAnsi="Garamond" w:cs="Times New Roman"/>
          <w:b/>
          <w:sz w:val="24"/>
          <w:szCs w:val="24"/>
          <w:lang w:eastAsia="it-IT"/>
        </w:rPr>
        <w:tab/>
        <w:t xml:space="preserve">Crisi </w:t>
      </w:r>
    </w:p>
    <w:p w14:paraId="218A911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xml:space="preserve"> </w:t>
      </w:r>
    </w:p>
    <w:p w14:paraId="5BEDAB13"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L’art. 2, lett. c) della legge 19 ottobre 2017, n. 155 (Delega al Governo per la riforma delle discipline della crisi d’impresa e dell’insolvenza) definisce lo stato di crisi (dell’impresa) come “</w:t>
      </w:r>
      <w:r w:rsidRPr="004D0CF0">
        <w:rPr>
          <w:rFonts w:ascii="Garamond" w:eastAsia="MS Mincho" w:hAnsi="Garamond" w:cs="Times New Roman"/>
          <w:i/>
          <w:sz w:val="24"/>
          <w:szCs w:val="24"/>
          <w:lang w:eastAsia="it-IT"/>
        </w:rPr>
        <w:t>probabilità di futura insolvenza, anche tenendo conto delle elaborazioni della scienza aziendalistica</w:t>
      </w:r>
      <w:r w:rsidRPr="004D0CF0">
        <w:rPr>
          <w:rFonts w:ascii="Garamond" w:eastAsia="MS Mincho" w:hAnsi="Garamond" w:cs="Times New Roman"/>
          <w:sz w:val="24"/>
          <w:szCs w:val="24"/>
          <w:lang w:eastAsia="it-IT"/>
        </w:rPr>
        <w:t>”; insolvenza a sua volta intesa – ex art. 5, R.D. 16 marzo 1942, n. 267 – come la situazione che “</w:t>
      </w:r>
      <w:r w:rsidRPr="004D0CF0">
        <w:rPr>
          <w:rFonts w:ascii="Garamond" w:eastAsia="MS Mincho" w:hAnsi="Garamond" w:cs="Times New Roman"/>
          <w:i/>
          <w:sz w:val="24"/>
          <w:szCs w:val="24"/>
          <w:lang w:eastAsia="it-IT"/>
        </w:rPr>
        <w:t>si manifesta con inadempimenti od altri fatti esteriori, i quali dimostrino che il debitore non è più in grado di soddisfare regolarmente le proprie obbligazioni</w:t>
      </w:r>
      <w:r w:rsidRPr="004D0CF0">
        <w:rPr>
          <w:rFonts w:ascii="Garamond" w:eastAsia="MS Mincho" w:hAnsi="Garamond" w:cs="Times New Roman"/>
          <w:sz w:val="24"/>
          <w:szCs w:val="24"/>
          <w:lang w:eastAsia="it-IT"/>
        </w:rPr>
        <w:t>” (definizione confermata nel decreto legislativo 12 gennaio 2019, n. 14, recante “Codice della crisi di impresa e dell’insolvenza in attuazione della legge 19 ottobre 2017, n. 155”, il quale all’art. 2, co. 1, lett. a) definisce la “crisi” come “</w:t>
      </w:r>
      <w:r w:rsidRPr="004D0CF0">
        <w:rPr>
          <w:rFonts w:ascii="Garamond" w:eastAsia="MS Mincho" w:hAnsi="Garamond" w:cs="Times New Roman"/>
          <w:i/>
          <w:sz w:val="24"/>
          <w:szCs w:val="24"/>
          <w:lang w:eastAsia="it-IT"/>
        </w:rPr>
        <w:t>lo stato di difficoltà economico-finanziaria che rende probabile l’insolvenza del debitore e che per le imprese si manifesta come inadeguatezza dei flussi di cassa prospettici a far fronte regolarmente alle obbligazioni pianificate</w:t>
      </w:r>
      <w:r w:rsidRPr="004D0CF0">
        <w:rPr>
          <w:rFonts w:ascii="Garamond" w:eastAsia="MS Mincho" w:hAnsi="Garamond" w:cs="Times New Roman"/>
          <w:sz w:val="24"/>
          <w:szCs w:val="24"/>
          <w:lang w:eastAsia="it-IT"/>
        </w:rPr>
        <w:t>”.</w:t>
      </w:r>
    </w:p>
    <w:p w14:paraId="47C8D1D1"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xml:space="preserve"> </w:t>
      </w:r>
    </w:p>
    <w:p w14:paraId="7E261790"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Il tal senso, la crisi può manifestarsi con caratteristiche diverse, assumendo i connotati di una:</w:t>
      </w:r>
    </w:p>
    <w:p w14:paraId="1662EAF2"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6BDC14A9" w14:textId="6841E2EC" w:rsidR="004D0CF0" w:rsidRPr="004D0CF0" w:rsidRDefault="00045863" w:rsidP="00492484">
      <w:pPr>
        <w:numPr>
          <w:ilvl w:val="0"/>
          <w:numId w:val="1"/>
        </w:numPr>
        <w:spacing w:after="0" w:line="240" w:lineRule="auto"/>
        <w:ind w:left="360"/>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lastRenderedPageBreak/>
        <w:t>Crisi</w:t>
      </w:r>
      <w:r w:rsidR="004D0CF0" w:rsidRPr="004D0CF0">
        <w:rPr>
          <w:rFonts w:ascii="Garamond" w:eastAsia="MS Mincho" w:hAnsi="Garamond" w:cs="Times New Roman"/>
          <w:sz w:val="24"/>
          <w:szCs w:val="24"/>
          <w:lang w:eastAsia="it-IT"/>
        </w:rPr>
        <w:t xml:space="preserve"> finanziaria, allorché l’azienda – pur economicamente sana – risenta di uno squilibrio finanziario e quindi abbia difficoltà a far fronte con regolarità alle proprie posizioni debitorie. Secondo il documento OIC 19, Debiti, (Appendice A</w:t>
      </w:r>
      <w:r w:rsidR="00D66B95" w:rsidRPr="004D0CF0">
        <w:rPr>
          <w:rFonts w:ascii="Garamond" w:eastAsia="MS Mincho" w:hAnsi="Garamond" w:cs="Times New Roman"/>
          <w:sz w:val="24"/>
          <w:szCs w:val="24"/>
          <w:lang w:eastAsia="it-IT"/>
        </w:rPr>
        <w:t>), “</w:t>
      </w:r>
      <w:r w:rsidR="004D0CF0" w:rsidRPr="004D0CF0">
        <w:rPr>
          <w:rFonts w:ascii="Garamond" w:eastAsia="MS Mincho" w:hAnsi="Garamond" w:cs="Times New Roman"/>
          <w:i/>
          <w:sz w:val="24"/>
          <w:szCs w:val="24"/>
          <w:lang w:eastAsia="it-IT"/>
        </w:rPr>
        <w:t>la situazione di difficoltà finanziaria è dovuta al fatto che il debitore non ha, né riesce a procurarsi, i mezzi finanziari adeguati, per quantità e qualità, a soddisfare le esigenze della gestione e le connesse obbligazioni di pagamento</w:t>
      </w:r>
      <w:r w:rsidR="004D0CF0" w:rsidRPr="004D0CF0">
        <w:rPr>
          <w:rFonts w:ascii="Garamond" w:eastAsia="MS Mincho" w:hAnsi="Garamond" w:cs="Times New Roman"/>
          <w:sz w:val="24"/>
          <w:szCs w:val="24"/>
          <w:lang w:eastAsia="it-IT"/>
        </w:rPr>
        <w:t>”;</w:t>
      </w:r>
    </w:p>
    <w:p w14:paraId="751193EC" w14:textId="41FABF59" w:rsidR="004D0CF0" w:rsidRPr="004D0CF0" w:rsidRDefault="00045863" w:rsidP="00492484">
      <w:pPr>
        <w:numPr>
          <w:ilvl w:val="0"/>
          <w:numId w:val="1"/>
        </w:numPr>
        <w:spacing w:after="0" w:line="240" w:lineRule="auto"/>
        <w:ind w:left="360"/>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Crisi</w:t>
      </w:r>
      <w:r w:rsidR="004D0CF0" w:rsidRPr="004D0CF0">
        <w:rPr>
          <w:rFonts w:ascii="Garamond" w:eastAsia="MS Mincho" w:hAnsi="Garamond" w:cs="Times New Roman"/>
          <w:sz w:val="24"/>
          <w:szCs w:val="24"/>
          <w:lang w:eastAsia="it-IT"/>
        </w:rPr>
        <w:t xml:space="preserve"> economica, allorché l’azienda non sia in grado, attraverso la gestione operativa, di remunerare congruamente i fattori produttivi impiegati.</w:t>
      </w:r>
    </w:p>
    <w:p w14:paraId="3E64C0BE"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p>
    <w:p w14:paraId="3A43042D"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t>2.</w:t>
      </w:r>
      <w:r w:rsidRPr="004D0CF0">
        <w:rPr>
          <w:rFonts w:ascii="Garamond" w:eastAsia="MS Mincho" w:hAnsi="Garamond" w:cs="Times New Roman"/>
          <w:b/>
          <w:bCs/>
          <w:smallCaps/>
          <w:sz w:val="24"/>
          <w:szCs w:val="24"/>
          <w:lang w:eastAsia="it-IT"/>
        </w:rPr>
        <w:tab/>
        <w:t xml:space="preserve">Strumenti per la valutazione del rischio di crisi </w:t>
      </w:r>
    </w:p>
    <w:p w14:paraId="3804134E"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Tenuto conto che la norma di legge fa riferimento a “indicatori” e non a “indici” e, dunque a un concetto di più ampia portata e di natura predittiva, la Società ha individuato i seguenti strumenti di valutazione dei rischi oggetto di monitoraggio:</w:t>
      </w:r>
    </w:p>
    <w:p w14:paraId="0F6572D4" w14:textId="46E9F604" w:rsidR="004D0CF0" w:rsidRPr="004D0CF0"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Analisi</w:t>
      </w:r>
      <w:r w:rsidR="004D0CF0" w:rsidRPr="004D0CF0">
        <w:rPr>
          <w:rFonts w:ascii="Garamond" w:eastAsia="MS Mincho" w:hAnsi="Garamond" w:cs="Times New Roman"/>
          <w:sz w:val="24"/>
          <w:szCs w:val="24"/>
          <w:lang w:eastAsia="it-IT"/>
        </w:rPr>
        <w:t xml:space="preserve"> di indici e margini di bilancio;</w:t>
      </w:r>
    </w:p>
    <w:p w14:paraId="41F2DA2D" w14:textId="5F8E053A" w:rsidR="004D0CF0"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Analisi</w:t>
      </w:r>
      <w:r w:rsidR="004D0CF0" w:rsidRPr="004D0CF0">
        <w:rPr>
          <w:rFonts w:ascii="Garamond" w:eastAsia="MS Mincho" w:hAnsi="Garamond" w:cs="Times New Roman"/>
          <w:sz w:val="24"/>
          <w:szCs w:val="24"/>
          <w:lang w:eastAsia="it-IT"/>
        </w:rPr>
        <w:t xml:space="preserve"> prospettica attraverso indicatori;</w:t>
      </w:r>
    </w:p>
    <w:p w14:paraId="37AB5B46" w14:textId="43D95B77" w:rsidR="001A5A99" w:rsidRPr="004D0CF0" w:rsidRDefault="001A5A99" w:rsidP="001A5A99">
      <w:pPr>
        <w:spacing w:after="0" w:line="240" w:lineRule="auto"/>
        <w:contextualSpacing/>
        <w:jc w:val="both"/>
        <w:rPr>
          <w:rFonts w:ascii="Garamond" w:eastAsia="MS Mincho" w:hAnsi="Garamond" w:cs="Times New Roman"/>
          <w:sz w:val="24"/>
          <w:szCs w:val="24"/>
          <w:lang w:eastAsia="it-IT"/>
        </w:rPr>
      </w:pPr>
      <w:r w:rsidRPr="0080386C">
        <w:rPr>
          <w:rFonts w:ascii="Garamond" w:eastAsia="MS Mincho" w:hAnsi="Garamond" w:cs="Times New Roman"/>
          <w:sz w:val="24"/>
          <w:szCs w:val="24"/>
          <w:lang w:eastAsia="it-IT"/>
        </w:rPr>
        <w:t xml:space="preserve">Si è tenuto conto anche delle Linee Guida contenute nella “Relazione sul governo societario contenente Programma </w:t>
      </w:r>
      <w:r w:rsidR="00045863" w:rsidRPr="0080386C">
        <w:rPr>
          <w:rFonts w:ascii="Garamond" w:eastAsia="MS Mincho" w:hAnsi="Garamond" w:cs="Times New Roman"/>
          <w:sz w:val="24"/>
          <w:szCs w:val="24"/>
          <w:lang w:eastAsia="it-IT"/>
        </w:rPr>
        <w:t>di valutazione</w:t>
      </w:r>
      <w:r w:rsidRPr="0080386C">
        <w:rPr>
          <w:rFonts w:ascii="Garamond" w:eastAsia="MS Mincho" w:hAnsi="Garamond" w:cs="Times New Roman"/>
          <w:sz w:val="24"/>
          <w:szCs w:val="24"/>
          <w:lang w:eastAsia="it-IT"/>
        </w:rPr>
        <w:t xml:space="preserve"> del rischio di crisi aziendale (ex art. 6. c. 2 e 4 D.lgs. 175/2016)” redatto dalla Fondazione Nazionale dottori commercialisti d’intesa con il Consiglio Nazionale.</w:t>
      </w:r>
    </w:p>
    <w:p w14:paraId="10397DF1" w14:textId="77777777" w:rsidR="004D0CF0" w:rsidRPr="004D0CF0" w:rsidRDefault="004D0CF0" w:rsidP="004D0CF0">
      <w:pPr>
        <w:spacing w:after="0" w:line="240" w:lineRule="auto"/>
        <w:ind w:left="360"/>
        <w:jc w:val="both"/>
        <w:rPr>
          <w:rFonts w:ascii="Garamond" w:eastAsia="MS Mincho" w:hAnsi="Garamond" w:cs="Times New Roman"/>
          <w:sz w:val="24"/>
          <w:szCs w:val="24"/>
          <w:lang w:eastAsia="it-IT"/>
        </w:rPr>
      </w:pPr>
    </w:p>
    <w:p w14:paraId="2FC2879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54D9290A" w14:textId="77777777" w:rsidR="004D0CF0" w:rsidRPr="004D0CF0" w:rsidRDefault="004D0CF0" w:rsidP="004D0CF0">
      <w:pPr>
        <w:spacing w:after="0" w:line="240" w:lineRule="auto"/>
        <w:jc w:val="both"/>
        <w:rPr>
          <w:rFonts w:ascii="Garamond" w:eastAsia="MS Mincho" w:hAnsi="Garamond" w:cs="Times New Roman"/>
          <w:b/>
          <w:sz w:val="24"/>
          <w:szCs w:val="24"/>
          <w:lang w:eastAsia="it-IT"/>
        </w:rPr>
      </w:pPr>
      <w:r w:rsidRPr="004D0CF0">
        <w:rPr>
          <w:rFonts w:ascii="Garamond" w:eastAsia="MS Mincho" w:hAnsi="Garamond" w:cs="Times New Roman"/>
          <w:b/>
          <w:sz w:val="24"/>
          <w:szCs w:val="24"/>
          <w:lang w:eastAsia="it-IT"/>
        </w:rPr>
        <w:t>2.1.</w:t>
      </w:r>
      <w:r w:rsidRPr="004D0CF0">
        <w:rPr>
          <w:rFonts w:ascii="Garamond" w:eastAsia="MS Mincho" w:hAnsi="Garamond" w:cs="Times New Roman"/>
          <w:b/>
          <w:sz w:val="24"/>
          <w:szCs w:val="24"/>
          <w:lang w:eastAsia="it-IT"/>
        </w:rPr>
        <w:tab/>
        <w:t>Analisi di indici e margini di bilancio.</w:t>
      </w:r>
    </w:p>
    <w:p w14:paraId="2A083568"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7F5A948"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L’analisi di bilancio si focalizza sulla:</w:t>
      </w:r>
    </w:p>
    <w:p w14:paraId="466BE21C" w14:textId="276AFA2D" w:rsidR="004D0CF0" w:rsidRPr="004D0CF0"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Solidità</w:t>
      </w:r>
      <w:r w:rsidR="004D0CF0" w:rsidRPr="004D0CF0">
        <w:rPr>
          <w:rFonts w:ascii="Garamond" w:eastAsia="MS Mincho" w:hAnsi="Garamond" w:cs="Times New Roman"/>
          <w:sz w:val="24"/>
          <w:szCs w:val="24"/>
          <w:lang w:eastAsia="it-IT"/>
        </w:rPr>
        <w:t>: l’analisi è indirizzata ad apprezzare la relazione fra le diverse fonti di finanziamento e la corrispondenza tra la durata degli impieghi e delle fonti;</w:t>
      </w:r>
    </w:p>
    <w:p w14:paraId="33CE136E" w14:textId="4B69DB18" w:rsidR="004D0CF0" w:rsidRPr="004D0CF0"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Liquidità</w:t>
      </w:r>
      <w:r w:rsidR="004D0CF0" w:rsidRPr="004D0CF0">
        <w:rPr>
          <w:rFonts w:ascii="Garamond" w:eastAsia="MS Mincho" w:hAnsi="Garamond" w:cs="Times New Roman"/>
          <w:sz w:val="24"/>
          <w:szCs w:val="24"/>
          <w:lang w:eastAsia="it-IT"/>
        </w:rPr>
        <w:t>: l’analisi ha ad oggetto la capacità dell’azienda di far fronte ai pagamenti a breve con la liquidità creata dalle attività di gestione a breve termine;</w:t>
      </w:r>
    </w:p>
    <w:p w14:paraId="03CC32D7" w14:textId="24438C12" w:rsidR="004D0CF0" w:rsidRPr="004D0CF0" w:rsidRDefault="00045863" w:rsidP="00492484">
      <w:pPr>
        <w:numPr>
          <w:ilvl w:val="0"/>
          <w:numId w:val="1"/>
        </w:numPr>
        <w:spacing w:after="0" w:line="240" w:lineRule="auto"/>
        <w:contextualSpacing/>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Redditività</w:t>
      </w:r>
      <w:r w:rsidR="004D0CF0" w:rsidRPr="004D0CF0">
        <w:rPr>
          <w:rFonts w:ascii="Garamond" w:eastAsia="MS Mincho" w:hAnsi="Garamond" w:cs="Times New Roman"/>
          <w:sz w:val="24"/>
          <w:szCs w:val="24"/>
          <w:lang w:eastAsia="it-IT"/>
        </w:rPr>
        <w:t>: l’analisi verifica la capacità dell’azienda di generare un reddito capace di coprire l’insieme dei costi aziendali nonché, eventualmente, remunerare del capitale.</w:t>
      </w:r>
    </w:p>
    <w:p w14:paraId="4BC70758"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D719F60" w14:textId="6DC13B03"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Tali analisi vengono condotte considerando un arco di tempo storico quadriennale (e quindi l’esercizio corrente e i tre precedenti), sulla base degli indici e margini di bilancio di seguito indicati.</w:t>
      </w:r>
    </w:p>
    <w:p w14:paraId="7AFBE8A2"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tbl>
      <w:tblPr>
        <w:tblW w:w="8073" w:type="dxa"/>
        <w:jc w:val="center"/>
        <w:tblCellMar>
          <w:left w:w="70" w:type="dxa"/>
          <w:right w:w="70" w:type="dxa"/>
        </w:tblCellMar>
        <w:tblLook w:val="04A0" w:firstRow="1" w:lastRow="0" w:firstColumn="1" w:lastColumn="0" w:noHBand="0" w:noVBand="1"/>
      </w:tblPr>
      <w:tblGrid>
        <w:gridCol w:w="2828"/>
        <w:gridCol w:w="1275"/>
        <w:gridCol w:w="1277"/>
        <w:gridCol w:w="1275"/>
        <w:gridCol w:w="1418"/>
      </w:tblGrid>
      <w:tr w:rsidR="004D0CF0" w:rsidRPr="004D0CF0" w14:paraId="7F5C3E17" w14:textId="77777777" w:rsidTr="00B44383">
        <w:trPr>
          <w:trHeight w:val="276"/>
          <w:jc w:val="center"/>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9554C" w14:textId="2D8FAF3E" w:rsidR="004D0CF0" w:rsidRPr="004D0CF0" w:rsidRDefault="00370578" w:rsidP="004D0CF0">
            <w:pPr>
              <w:spacing w:after="0" w:line="240" w:lineRule="auto"/>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Civita .s srl</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833F0" w14:textId="485903CB" w:rsidR="004D0CF0" w:rsidRDefault="004D0CF0" w:rsidP="004D0CF0">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corrente </w:t>
            </w:r>
          </w:p>
          <w:p w14:paraId="586A07D2" w14:textId="04EBBCFB" w:rsidR="004B04A5" w:rsidRPr="004D0CF0" w:rsidRDefault="004B04A5" w:rsidP="001B03C6">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202</w:t>
            </w:r>
            <w:r w:rsidR="001B03C6">
              <w:rPr>
                <w:rFonts w:ascii="Arial" w:eastAsia="Times New Roman" w:hAnsi="Arial" w:cs="Arial"/>
                <w:b/>
                <w:bCs/>
                <w:color w:val="000000"/>
                <w:sz w:val="20"/>
                <w:szCs w:val="20"/>
                <w:lang w:eastAsia="it-IT"/>
              </w:rPr>
              <w:t>4</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76BADA81" w14:textId="23F88B4E" w:rsidR="004D0CF0" w:rsidRPr="004D0CF0" w:rsidRDefault="004D0CF0" w:rsidP="001B03C6">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w:t>
            </w:r>
            <w:r w:rsidR="004B04A5">
              <w:rPr>
                <w:rFonts w:ascii="Arial" w:eastAsia="Times New Roman" w:hAnsi="Arial" w:cs="Arial"/>
                <w:b/>
                <w:bCs/>
                <w:color w:val="000000"/>
                <w:sz w:val="20"/>
                <w:szCs w:val="20"/>
                <w:lang w:eastAsia="it-IT"/>
              </w:rPr>
              <w:t>202</w:t>
            </w:r>
            <w:r w:rsidR="001B03C6">
              <w:rPr>
                <w:rFonts w:ascii="Arial" w:eastAsia="Times New Roman" w:hAnsi="Arial" w:cs="Arial"/>
                <w:b/>
                <w:bCs/>
                <w:color w:val="000000"/>
                <w:sz w:val="20"/>
                <w:szCs w:val="20"/>
                <w:lang w:eastAsia="it-IT"/>
              </w:rPr>
              <w:t>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5D712F" w14:textId="05F0BB0C" w:rsidR="004D0CF0" w:rsidRPr="004D0CF0" w:rsidRDefault="004D0CF0" w:rsidP="001B03C6">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w:t>
            </w:r>
            <w:r w:rsidR="004B04A5">
              <w:rPr>
                <w:rFonts w:ascii="Arial" w:eastAsia="Times New Roman" w:hAnsi="Arial" w:cs="Arial"/>
                <w:b/>
                <w:bCs/>
                <w:color w:val="000000"/>
                <w:sz w:val="20"/>
                <w:szCs w:val="20"/>
                <w:lang w:eastAsia="it-IT"/>
              </w:rPr>
              <w:t>202</w:t>
            </w:r>
            <w:r w:rsidR="001B03C6">
              <w:rPr>
                <w:rFonts w:ascii="Arial" w:eastAsia="Times New Roman" w:hAnsi="Arial" w:cs="Arial"/>
                <w:b/>
                <w:bCs/>
                <w:color w:val="000000"/>
                <w:sz w:val="20"/>
                <w:szCs w:val="20"/>
                <w:lang w:eastAsia="it-IT"/>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CC0EB0" w14:textId="7CE475DD" w:rsidR="004D0CF0" w:rsidRPr="004D0CF0" w:rsidRDefault="004D0CF0" w:rsidP="001B03C6">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w:t>
            </w:r>
            <w:r w:rsidR="004B04A5">
              <w:rPr>
                <w:rFonts w:ascii="Arial" w:eastAsia="Times New Roman" w:hAnsi="Arial" w:cs="Arial"/>
                <w:b/>
                <w:bCs/>
                <w:color w:val="000000"/>
                <w:sz w:val="20"/>
                <w:szCs w:val="20"/>
                <w:lang w:eastAsia="it-IT"/>
              </w:rPr>
              <w:t>20</w:t>
            </w:r>
            <w:r w:rsidR="00F215CC">
              <w:rPr>
                <w:rFonts w:ascii="Arial" w:eastAsia="Times New Roman" w:hAnsi="Arial" w:cs="Arial"/>
                <w:b/>
                <w:bCs/>
                <w:color w:val="000000"/>
                <w:sz w:val="20"/>
                <w:szCs w:val="20"/>
                <w:lang w:eastAsia="it-IT"/>
              </w:rPr>
              <w:t>2</w:t>
            </w:r>
            <w:r w:rsidR="001B03C6">
              <w:rPr>
                <w:rFonts w:ascii="Arial" w:eastAsia="Times New Roman" w:hAnsi="Arial" w:cs="Arial"/>
                <w:b/>
                <w:bCs/>
                <w:color w:val="000000"/>
                <w:sz w:val="20"/>
                <w:szCs w:val="20"/>
                <w:lang w:eastAsia="it-IT"/>
              </w:rPr>
              <w:t>1</w:t>
            </w:r>
          </w:p>
        </w:tc>
      </w:tr>
      <w:tr w:rsidR="004D0CF0" w:rsidRPr="004D0CF0" w14:paraId="392EECD6" w14:textId="77777777" w:rsidTr="00B44383">
        <w:trPr>
          <w:trHeight w:val="276"/>
          <w:jc w:val="center"/>
        </w:trPr>
        <w:tc>
          <w:tcPr>
            <w:tcW w:w="2828" w:type="dxa"/>
            <w:tcBorders>
              <w:top w:val="nil"/>
              <w:left w:val="single" w:sz="4" w:space="0" w:color="auto"/>
              <w:bottom w:val="single" w:sz="4" w:space="0" w:color="auto"/>
              <w:right w:val="single" w:sz="4" w:space="0" w:color="auto"/>
            </w:tcBorders>
            <w:shd w:val="clear" w:color="000000" w:fill="000000"/>
            <w:noWrap/>
            <w:vAlign w:val="bottom"/>
            <w:hideMark/>
          </w:tcPr>
          <w:p w14:paraId="10C6F57D" w14:textId="77777777" w:rsidR="004D0CF0" w:rsidRPr="004D0CF0" w:rsidRDefault="004D0CF0" w:rsidP="004D0CF0">
            <w:pPr>
              <w:spacing w:after="0" w:line="240" w:lineRule="auto"/>
              <w:rPr>
                <w:rFonts w:ascii="Arial" w:eastAsia="Times New Roman" w:hAnsi="Arial" w:cs="Arial"/>
                <w:b/>
                <w:bCs/>
                <w:color w:val="FFFFFF"/>
                <w:sz w:val="20"/>
                <w:szCs w:val="20"/>
                <w:lang w:eastAsia="it-IT"/>
              </w:rPr>
            </w:pPr>
            <w:r w:rsidRPr="004D0CF0">
              <w:rPr>
                <w:rFonts w:ascii="Arial" w:eastAsia="Times New Roman" w:hAnsi="Arial" w:cs="Arial"/>
                <w:b/>
                <w:bCs/>
                <w:color w:val="FFFFFF"/>
                <w:sz w:val="20"/>
                <w:szCs w:val="20"/>
                <w:lang w:eastAsia="it-IT"/>
              </w:rPr>
              <w:t>Stato Patrimoniale</w:t>
            </w:r>
          </w:p>
        </w:tc>
        <w:tc>
          <w:tcPr>
            <w:tcW w:w="1275" w:type="dxa"/>
            <w:tcBorders>
              <w:top w:val="nil"/>
              <w:left w:val="nil"/>
              <w:bottom w:val="single" w:sz="4" w:space="0" w:color="auto"/>
              <w:right w:val="single" w:sz="4" w:space="0" w:color="auto"/>
            </w:tcBorders>
            <w:shd w:val="clear" w:color="000000" w:fill="000000"/>
            <w:noWrap/>
            <w:vAlign w:val="bottom"/>
            <w:hideMark/>
          </w:tcPr>
          <w:p w14:paraId="3BC47D13" w14:textId="77777777" w:rsidR="004D0CF0" w:rsidRPr="004D0CF0" w:rsidRDefault="004D0CF0" w:rsidP="004D0CF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7" w:type="dxa"/>
            <w:tcBorders>
              <w:top w:val="nil"/>
              <w:left w:val="nil"/>
              <w:bottom w:val="single" w:sz="4" w:space="0" w:color="auto"/>
              <w:right w:val="single" w:sz="4" w:space="0" w:color="auto"/>
            </w:tcBorders>
            <w:shd w:val="clear" w:color="000000" w:fill="000000"/>
            <w:noWrap/>
            <w:vAlign w:val="bottom"/>
            <w:hideMark/>
          </w:tcPr>
          <w:p w14:paraId="7BFF125F" w14:textId="77777777" w:rsidR="004D0CF0" w:rsidRPr="004D0CF0" w:rsidRDefault="004D0CF0" w:rsidP="004D0CF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5" w:type="dxa"/>
            <w:tcBorders>
              <w:top w:val="nil"/>
              <w:left w:val="nil"/>
              <w:bottom w:val="single" w:sz="4" w:space="0" w:color="auto"/>
              <w:right w:val="single" w:sz="4" w:space="0" w:color="auto"/>
            </w:tcBorders>
            <w:shd w:val="clear" w:color="000000" w:fill="000000"/>
            <w:noWrap/>
            <w:vAlign w:val="bottom"/>
            <w:hideMark/>
          </w:tcPr>
          <w:p w14:paraId="0370C9DD" w14:textId="77777777" w:rsidR="004D0CF0" w:rsidRPr="004D0CF0" w:rsidRDefault="004D0CF0" w:rsidP="004D0CF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418" w:type="dxa"/>
            <w:tcBorders>
              <w:top w:val="nil"/>
              <w:left w:val="nil"/>
              <w:bottom w:val="single" w:sz="4" w:space="0" w:color="auto"/>
              <w:right w:val="single" w:sz="4" w:space="0" w:color="auto"/>
            </w:tcBorders>
            <w:shd w:val="clear" w:color="000000" w:fill="000000"/>
            <w:noWrap/>
            <w:vAlign w:val="bottom"/>
            <w:hideMark/>
          </w:tcPr>
          <w:p w14:paraId="18FCE6CC" w14:textId="77777777" w:rsidR="004D0CF0" w:rsidRPr="004D0CF0" w:rsidRDefault="004D0CF0" w:rsidP="004D0CF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r>
      <w:tr w:rsidR="004D0CF0" w:rsidRPr="004D0CF0" w14:paraId="488E85F2" w14:textId="77777777" w:rsidTr="00B44383">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5840A794" w14:textId="77777777" w:rsidR="004D0CF0" w:rsidRPr="004D0CF0" w:rsidRDefault="004D0CF0" w:rsidP="004D0CF0">
            <w:pPr>
              <w:spacing w:after="0" w:line="240" w:lineRule="auto"/>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**Margini**</w:t>
            </w:r>
          </w:p>
        </w:tc>
        <w:tc>
          <w:tcPr>
            <w:tcW w:w="1275" w:type="dxa"/>
            <w:tcBorders>
              <w:top w:val="nil"/>
              <w:left w:val="nil"/>
              <w:bottom w:val="single" w:sz="4" w:space="0" w:color="auto"/>
              <w:right w:val="single" w:sz="4" w:space="0" w:color="auto"/>
            </w:tcBorders>
            <w:shd w:val="clear" w:color="000000" w:fill="D9D9D9"/>
            <w:noWrap/>
            <w:vAlign w:val="center"/>
            <w:hideMark/>
          </w:tcPr>
          <w:p w14:paraId="4369D0CD" w14:textId="77777777" w:rsidR="004D0CF0" w:rsidRPr="004D0CF0" w:rsidRDefault="004D0CF0" w:rsidP="004D0CF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7" w:type="dxa"/>
            <w:tcBorders>
              <w:top w:val="nil"/>
              <w:left w:val="nil"/>
              <w:bottom w:val="single" w:sz="4" w:space="0" w:color="auto"/>
              <w:right w:val="single" w:sz="4" w:space="0" w:color="auto"/>
            </w:tcBorders>
            <w:shd w:val="clear" w:color="000000" w:fill="D9D9D9"/>
            <w:noWrap/>
            <w:vAlign w:val="center"/>
            <w:hideMark/>
          </w:tcPr>
          <w:p w14:paraId="4D7C21DD" w14:textId="77777777" w:rsidR="004D0CF0" w:rsidRPr="004D0CF0" w:rsidRDefault="004D0CF0" w:rsidP="004D0CF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5" w:type="dxa"/>
            <w:tcBorders>
              <w:top w:val="nil"/>
              <w:left w:val="nil"/>
              <w:bottom w:val="single" w:sz="4" w:space="0" w:color="auto"/>
              <w:right w:val="single" w:sz="4" w:space="0" w:color="auto"/>
            </w:tcBorders>
            <w:shd w:val="clear" w:color="000000" w:fill="D9D9D9"/>
            <w:noWrap/>
            <w:vAlign w:val="center"/>
            <w:hideMark/>
          </w:tcPr>
          <w:p w14:paraId="2E2BE983" w14:textId="77777777" w:rsidR="004D0CF0" w:rsidRPr="004D0CF0" w:rsidRDefault="004D0CF0" w:rsidP="004D0CF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65AA1257" w14:textId="77777777" w:rsidR="004D0CF0" w:rsidRPr="004D0CF0" w:rsidRDefault="004D0CF0" w:rsidP="004D0CF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r>
      <w:tr w:rsidR="001B03C6" w:rsidRPr="004D0CF0" w14:paraId="6663CAE2"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1EB575CC"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Pr>
                <w:rFonts w:ascii="Arial" w:eastAsia="Times New Roman" w:hAnsi="Arial" w:cs="Arial"/>
                <w:color w:val="000000"/>
                <w:spacing w:val="-16"/>
                <w:sz w:val="20"/>
                <w:szCs w:val="20"/>
                <w:lang w:eastAsia="it-IT"/>
              </w:rPr>
              <w:t>Margine di t</w:t>
            </w:r>
            <w:r w:rsidRPr="00C25998">
              <w:rPr>
                <w:rFonts w:ascii="Arial" w:eastAsia="Times New Roman" w:hAnsi="Arial" w:cs="Arial"/>
                <w:color w:val="000000"/>
                <w:spacing w:val="-16"/>
                <w:sz w:val="20"/>
                <w:szCs w:val="20"/>
                <w:lang w:eastAsia="it-IT"/>
              </w:rPr>
              <w:t xml:space="preserve">esoreria </w:t>
            </w:r>
          </w:p>
        </w:tc>
        <w:tc>
          <w:tcPr>
            <w:tcW w:w="1275" w:type="dxa"/>
            <w:tcBorders>
              <w:top w:val="nil"/>
              <w:left w:val="nil"/>
              <w:bottom w:val="single" w:sz="4" w:space="0" w:color="auto"/>
              <w:right w:val="single" w:sz="4" w:space="0" w:color="auto"/>
            </w:tcBorders>
            <w:shd w:val="clear" w:color="auto" w:fill="auto"/>
            <w:noWrap/>
            <w:vAlign w:val="center"/>
          </w:tcPr>
          <w:p w14:paraId="3274E7A1" w14:textId="39543497" w:rsidR="001B03C6" w:rsidRPr="004D0CF0" w:rsidRDefault="001B03C6" w:rsidP="001B03C6">
            <w:pPr>
              <w:spacing w:after="0" w:line="240" w:lineRule="auto"/>
              <w:jc w:val="center"/>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045AB817" w14:textId="77777777" w:rsidR="001B03C6" w:rsidRDefault="001B03C6" w:rsidP="001B03C6">
            <w:pPr>
              <w:spacing w:after="0" w:line="240" w:lineRule="auto"/>
              <w:jc w:val="right"/>
              <w:rPr>
                <w:rFonts w:ascii="Arial" w:eastAsia="Times New Roman" w:hAnsi="Arial" w:cs="Arial"/>
                <w:color w:val="000000"/>
                <w:sz w:val="20"/>
                <w:szCs w:val="20"/>
                <w:lang w:eastAsia="it-IT"/>
              </w:rPr>
            </w:pPr>
          </w:p>
          <w:p w14:paraId="2754F5F7" w14:textId="77777777" w:rsidR="001B03C6" w:rsidRDefault="001B03C6" w:rsidP="001B03C6">
            <w:pPr>
              <w:spacing w:after="0" w:line="240" w:lineRule="auto"/>
              <w:rPr>
                <w:rFonts w:ascii="Arial" w:eastAsia="Times New Roman" w:hAnsi="Arial" w:cs="Arial"/>
                <w:color w:val="000000"/>
                <w:sz w:val="20"/>
                <w:szCs w:val="20"/>
                <w:lang w:eastAsia="it-IT"/>
              </w:rPr>
            </w:pPr>
          </w:p>
          <w:p w14:paraId="016CD3A2" w14:textId="3FF2D5E0" w:rsidR="001B03C6" w:rsidRDefault="001B03C6" w:rsidP="001B03C6">
            <w:pPr>
              <w:spacing w:after="0" w:line="240" w:lineRule="auto"/>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       </w:t>
            </w:r>
          </w:p>
          <w:p w14:paraId="46FFAB98" w14:textId="77777777" w:rsidR="001B03C6" w:rsidRDefault="001B03C6" w:rsidP="001B03C6">
            <w:pPr>
              <w:spacing w:after="0" w:line="240" w:lineRule="auto"/>
              <w:rPr>
                <w:rFonts w:ascii="Arial" w:eastAsia="Times New Roman" w:hAnsi="Arial" w:cs="Arial"/>
                <w:color w:val="000000"/>
                <w:sz w:val="20"/>
                <w:szCs w:val="20"/>
                <w:lang w:eastAsia="it-IT"/>
              </w:rPr>
            </w:pPr>
          </w:p>
          <w:p w14:paraId="49E6E122" w14:textId="28ECA1A3"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957A06E" w14:textId="6203CB50"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71B275F2" w14:textId="758C6E3D"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118D7412"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66A55007" w14:textId="54CA2114" w:rsidR="001B03C6"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Margine di </w:t>
            </w:r>
            <w:r>
              <w:rPr>
                <w:rFonts w:ascii="Arial" w:eastAsia="Times New Roman" w:hAnsi="Arial" w:cs="Arial"/>
                <w:color w:val="000000"/>
                <w:spacing w:val="-16"/>
                <w:sz w:val="20"/>
                <w:szCs w:val="20"/>
                <w:lang w:eastAsia="it-IT"/>
              </w:rPr>
              <w:t>s</w:t>
            </w:r>
            <w:r w:rsidRPr="00C25998">
              <w:rPr>
                <w:rFonts w:ascii="Arial" w:eastAsia="Times New Roman" w:hAnsi="Arial" w:cs="Arial"/>
                <w:color w:val="000000"/>
                <w:spacing w:val="-16"/>
                <w:sz w:val="20"/>
                <w:szCs w:val="20"/>
                <w:lang w:eastAsia="it-IT"/>
              </w:rPr>
              <w:t xml:space="preserve">truttura </w:t>
            </w:r>
          </w:p>
          <w:p w14:paraId="1D6B379D" w14:textId="6621E68F" w:rsidR="001B03C6" w:rsidRPr="00C25998" w:rsidRDefault="001B03C6" w:rsidP="001B03C6">
            <w:pPr>
              <w:spacing w:after="0" w:line="240" w:lineRule="auto"/>
              <w:rPr>
                <w:rFonts w:ascii="Arial" w:eastAsia="Times New Roman" w:hAnsi="Arial" w:cs="Arial"/>
                <w:color w:val="000000"/>
                <w:spacing w:val="-16"/>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5415103" w14:textId="77777777"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53FFF250" w14:textId="77777777" w:rsidR="001B03C6" w:rsidRDefault="001B03C6" w:rsidP="001B03C6">
            <w:pPr>
              <w:spacing w:after="0" w:line="240" w:lineRule="auto"/>
              <w:jc w:val="right"/>
              <w:rPr>
                <w:rFonts w:ascii="Arial" w:eastAsia="Times New Roman" w:hAnsi="Arial" w:cs="Arial"/>
                <w:color w:val="000000"/>
                <w:sz w:val="20"/>
                <w:szCs w:val="20"/>
                <w:lang w:eastAsia="it-IT"/>
              </w:rPr>
            </w:pPr>
          </w:p>
          <w:p w14:paraId="25CDA4CD" w14:textId="1901AA6E"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5D38159A" w14:textId="469BAD34"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4BA19993" w14:textId="276E102D"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25D899B7"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7AAA9DF1" w14:textId="5225A808"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Margine di disponibilità </w:t>
            </w:r>
          </w:p>
        </w:tc>
        <w:tc>
          <w:tcPr>
            <w:tcW w:w="1275" w:type="dxa"/>
            <w:tcBorders>
              <w:top w:val="nil"/>
              <w:left w:val="nil"/>
              <w:bottom w:val="single" w:sz="4" w:space="0" w:color="auto"/>
              <w:right w:val="single" w:sz="4" w:space="0" w:color="auto"/>
            </w:tcBorders>
            <w:shd w:val="clear" w:color="auto" w:fill="auto"/>
            <w:noWrap/>
            <w:vAlign w:val="center"/>
          </w:tcPr>
          <w:p w14:paraId="7E7A2AB9" w14:textId="140745A8"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2FC5E4EF" w14:textId="6FF40AFC" w:rsidR="001B03C6" w:rsidRPr="004D0CF0" w:rsidRDefault="001B03C6" w:rsidP="007B64D5">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55EC63B0" w14:textId="5D50885E"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68B93FFC" w14:textId="446F451F"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4731FF64" w14:textId="77777777" w:rsidTr="00B44383">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018DBBEE" w14:textId="2C0A9FE8" w:rsidR="001B03C6" w:rsidRPr="00C25998" w:rsidRDefault="001B03C6" w:rsidP="001B03C6">
            <w:pPr>
              <w:spacing w:after="0" w:line="240" w:lineRule="auto"/>
              <w:rPr>
                <w:rFonts w:ascii="Arial" w:eastAsia="Times New Roman" w:hAnsi="Arial" w:cs="Arial"/>
                <w:b/>
                <w:bCs/>
                <w:color w:val="000000"/>
                <w:spacing w:val="-16"/>
                <w:sz w:val="20"/>
                <w:szCs w:val="20"/>
                <w:lang w:eastAsia="it-IT"/>
              </w:rPr>
            </w:pPr>
            <w:r w:rsidRPr="00C25998">
              <w:rPr>
                <w:rFonts w:ascii="Arial" w:eastAsia="Times New Roman" w:hAnsi="Arial" w:cs="Arial"/>
                <w:b/>
                <w:bCs/>
                <w:color w:val="000000"/>
                <w:spacing w:val="-16"/>
                <w:sz w:val="20"/>
                <w:szCs w:val="20"/>
                <w:lang w:eastAsia="it-IT"/>
              </w:rPr>
              <w:t>**Indici**</w:t>
            </w:r>
          </w:p>
        </w:tc>
        <w:tc>
          <w:tcPr>
            <w:tcW w:w="1275" w:type="dxa"/>
            <w:tcBorders>
              <w:top w:val="nil"/>
              <w:left w:val="nil"/>
              <w:bottom w:val="single" w:sz="4" w:space="0" w:color="auto"/>
              <w:right w:val="single" w:sz="4" w:space="0" w:color="auto"/>
            </w:tcBorders>
            <w:shd w:val="clear" w:color="000000" w:fill="D9D9D9"/>
            <w:noWrap/>
            <w:vAlign w:val="center"/>
            <w:hideMark/>
          </w:tcPr>
          <w:p w14:paraId="356F40A6"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7" w:type="dxa"/>
            <w:tcBorders>
              <w:top w:val="nil"/>
              <w:left w:val="nil"/>
              <w:bottom w:val="single" w:sz="4" w:space="0" w:color="auto"/>
              <w:right w:val="single" w:sz="4" w:space="0" w:color="auto"/>
            </w:tcBorders>
            <w:shd w:val="clear" w:color="000000" w:fill="D9D9D9"/>
            <w:noWrap/>
            <w:vAlign w:val="center"/>
            <w:hideMark/>
          </w:tcPr>
          <w:p w14:paraId="080FFA13"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5" w:type="dxa"/>
            <w:tcBorders>
              <w:top w:val="nil"/>
              <w:left w:val="nil"/>
              <w:bottom w:val="single" w:sz="4" w:space="0" w:color="auto"/>
              <w:right w:val="single" w:sz="4" w:space="0" w:color="auto"/>
            </w:tcBorders>
            <w:shd w:val="clear" w:color="000000" w:fill="D9D9D9"/>
            <w:noWrap/>
            <w:vAlign w:val="center"/>
            <w:hideMark/>
          </w:tcPr>
          <w:p w14:paraId="67F95AB4"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6419A73F"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r>
      <w:tr w:rsidR="001B03C6" w:rsidRPr="004D0CF0" w14:paraId="1E71FB56"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641F818F"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Indice di liquidità </w:t>
            </w:r>
          </w:p>
        </w:tc>
        <w:tc>
          <w:tcPr>
            <w:tcW w:w="1275" w:type="dxa"/>
            <w:tcBorders>
              <w:top w:val="nil"/>
              <w:left w:val="nil"/>
              <w:bottom w:val="single" w:sz="4" w:space="0" w:color="auto"/>
              <w:right w:val="single" w:sz="4" w:space="0" w:color="auto"/>
            </w:tcBorders>
            <w:shd w:val="clear" w:color="auto" w:fill="auto"/>
            <w:noWrap/>
            <w:vAlign w:val="center"/>
          </w:tcPr>
          <w:p w14:paraId="27BA29CF" w14:textId="10008ED1"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2BE2C264" w14:textId="7BBB87A1"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5484827" w14:textId="644F35BB"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3104C122" w14:textId="4DCD25B8"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594E2AD7"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15C3DEBF"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lastRenderedPageBreak/>
              <w:t xml:space="preserve">Indice di disponibilità </w:t>
            </w:r>
          </w:p>
        </w:tc>
        <w:tc>
          <w:tcPr>
            <w:tcW w:w="1275" w:type="dxa"/>
            <w:tcBorders>
              <w:top w:val="nil"/>
              <w:left w:val="nil"/>
              <w:bottom w:val="single" w:sz="4" w:space="0" w:color="auto"/>
              <w:right w:val="single" w:sz="4" w:space="0" w:color="auto"/>
            </w:tcBorders>
            <w:shd w:val="clear" w:color="auto" w:fill="auto"/>
            <w:noWrap/>
            <w:vAlign w:val="center"/>
          </w:tcPr>
          <w:p w14:paraId="16450A53" w14:textId="332FD9D1"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24A3E69F" w14:textId="77777777" w:rsidR="001B03C6" w:rsidRDefault="001B03C6" w:rsidP="001B03C6">
            <w:pPr>
              <w:spacing w:after="0" w:line="240" w:lineRule="auto"/>
              <w:jc w:val="right"/>
              <w:rPr>
                <w:rFonts w:ascii="Arial" w:eastAsia="Times New Roman" w:hAnsi="Arial" w:cs="Arial"/>
                <w:color w:val="000000"/>
                <w:sz w:val="20"/>
                <w:szCs w:val="20"/>
                <w:lang w:eastAsia="it-IT"/>
              </w:rPr>
            </w:pPr>
          </w:p>
          <w:p w14:paraId="71A9C9D2" w14:textId="6D06BCA2" w:rsidR="001B03C6" w:rsidRPr="004D0CF0" w:rsidRDefault="001B03C6" w:rsidP="007B64D5">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19B07BEC" w14:textId="41A83CDA"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228EBF50" w14:textId="79B3A5C6"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793A80C1"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26CE5E96" w14:textId="3565B350"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Indice di copertura delle immobilizzazioni </w:t>
            </w:r>
          </w:p>
        </w:tc>
        <w:tc>
          <w:tcPr>
            <w:tcW w:w="1275" w:type="dxa"/>
            <w:tcBorders>
              <w:top w:val="nil"/>
              <w:left w:val="nil"/>
              <w:bottom w:val="single" w:sz="4" w:space="0" w:color="auto"/>
              <w:right w:val="single" w:sz="4" w:space="0" w:color="auto"/>
            </w:tcBorders>
            <w:shd w:val="clear" w:color="auto" w:fill="auto"/>
            <w:noWrap/>
            <w:vAlign w:val="center"/>
          </w:tcPr>
          <w:p w14:paraId="560F6A38" w14:textId="4965B014"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286ADC5C" w14:textId="522CD511"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26946C1F" w14:textId="6E3340B3"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2704ABAB" w14:textId="7BEB8C92"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3EA48306"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43D82238"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Leverage </w:t>
            </w:r>
          </w:p>
        </w:tc>
        <w:tc>
          <w:tcPr>
            <w:tcW w:w="1275" w:type="dxa"/>
            <w:tcBorders>
              <w:top w:val="nil"/>
              <w:left w:val="nil"/>
              <w:bottom w:val="single" w:sz="4" w:space="0" w:color="auto"/>
              <w:right w:val="single" w:sz="4" w:space="0" w:color="auto"/>
            </w:tcBorders>
            <w:shd w:val="clear" w:color="auto" w:fill="auto"/>
            <w:noWrap/>
            <w:vAlign w:val="center"/>
          </w:tcPr>
          <w:p w14:paraId="55A5A6CB" w14:textId="4EB1BF24"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4EFC9B87" w14:textId="1CF6C31F"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4BE76575" w14:textId="3F45F423"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072C0410" w14:textId="167CAFC2"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7E081F4F" w14:textId="77777777" w:rsidTr="00B44383">
        <w:trPr>
          <w:trHeight w:val="276"/>
          <w:jc w:val="center"/>
        </w:trPr>
        <w:tc>
          <w:tcPr>
            <w:tcW w:w="28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8435346" w14:textId="77777777" w:rsidR="001B03C6" w:rsidRPr="00C25998" w:rsidRDefault="001B03C6" w:rsidP="001B03C6">
            <w:pPr>
              <w:spacing w:after="0" w:line="240" w:lineRule="auto"/>
              <w:rPr>
                <w:rFonts w:ascii="Arial" w:eastAsia="Times New Roman" w:hAnsi="Arial" w:cs="Arial"/>
                <w:b/>
                <w:bCs/>
                <w:color w:val="FFFFFF"/>
                <w:spacing w:val="-16"/>
                <w:sz w:val="20"/>
                <w:szCs w:val="20"/>
                <w:lang w:eastAsia="it-IT"/>
              </w:rPr>
            </w:pPr>
            <w:r w:rsidRPr="00C25998">
              <w:rPr>
                <w:rFonts w:ascii="Arial" w:eastAsia="Times New Roman" w:hAnsi="Arial" w:cs="Arial"/>
                <w:b/>
                <w:bCs/>
                <w:color w:val="FFFFFF"/>
                <w:spacing w:val="-16"/>
                <w:sz w:val="20"/>
                <w:szCs w:val="20"/>
                <w:lang w:eastAsia="it-IT"/>
              </w:rPr>
              <w:t>Conto economico</w:t>
            </w:r>
          </w:p>
        </w:tc>
        <w:tc>
          <w:tcPr>
            <w:tcW w:w="1275" w:type="dxa"/>
            <w:tcBorders>
              <w:top w:val="single" w:sz="4" w:space="0" w:color="auto"/>
              <w:left w:val="nil"/>
              <w:bottom w:val="single" w:sz="4" w:space="0" w:color="auto"/>
              <w:right w:val="single" w:sz="4" w:space="0" w:color="auto"/>
            </w:tcBorders>
            <w:shd w:val="clear" w:color="000000" w:fill="000000"/>
            <w:noWrap/>
            <w:vAlign w:val="center"/>
            <w:hideMark/>
          </w:tcPr>
          <w:p w14:paraId="59DE72F4" w14:textId="77777777" w:rsidR="001B03C6" w:rsidRPr="004D0CF0" w:rsidRDefault="001B03C6" w:rsidP="001B03C6">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7" w:type="dxa"/>
            <w:tcBorders>
              <w:top w:val="single" w:sz="4" w:space="0" w:color="auto"/>
              <w:left w:val="nil"/>
              <w:bottom w:val="single" w:sz="4" w:space="0" w:color="auto"/>
              <w:right w:val="single" w:sz="4" w:space="0" w:color="auto"/>
            </w:tcBorders>
            <w:shd w:val="clear" w:color="000000" w:fill="000000"/>
            <w:noWrap/>
            <w:vAlign w:val="center"/>
            <w:hideMark/>
          </w:tcPr>
          <w:p w14:paraId="45ECE244" w14:textId="77777777" w:rsidR="001B03C6" w:rsidRPr="004D0CF0" w:rsidRDefault="001B03C6" w:rsidP="001B03C6">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5" w:type="dxa"/>
            <w:tcBorders>
              <w:top w:val="single" w:sz="4" w:space="0" w:color="auto"/>
              <w:left w:val="nil"/>
              <w:bottom w:val="single" w:sz="4" w:space="0" w:color="auto"/>
              <w:right w:val="single" w:sz="4" w:space="0" w:color="auto"/>
            </w:tcBorders>
            <w:shd w:val="clear" w:color="000000" w:fill="000000"/>
            <w:noWrap/>
            <w:vAlign w:val="center"/>
            <w:hideMark/>
          </w:tcPr>
          <w:p w14:paraId="2BB12C90" w14:textId="77777777" w:rsidR="001B03C6" w:rsidRPr="004D0CF0" w:rsidRDefault="001B03C6" w:rsidP="001B03C6">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418" w:type="dxa"/>
            <w:tcBorders>
              <w:top w:val="single" w:sz="4" w:space="0" w:color="auto"/>
              <w:left w:val="nil"/>
              <w:bottom w:val="single" w:sz="4" w:space="0" w:color="auto"/>
              <w:right w:val="single" w:sz="4" w:space="0" w:color="auto"/>
            </w:tcBorders>
            <w:shd w:val="clear" w:color="000000" w:fill="000000"/>
            <w:noWrap/>
            <w:vAlign w:val="center"/>
            <w:hideMark/>
          </w:tcPr>
          <w:p w14:paraId="47074C54" w14:textId="77777777" w:rsidR="001B03C6" w:rsidRPr="004D0CF0" w:rsidRDefault="001B03C6" w:rsidP="001B03C6">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r>
      <w:tr w:rsidR="001B03C6" w:rsidRPr="004D0CF0" w14:paraId="1E0FEB95" w14:textId="77777777" w:rsidTr="00B44383">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18A61004" w14:textId="77777777" w:rsidR="001B03C6" w:rsidRPr="00C25998" w:rsidRDefault="001B03C6" w:rsidP="001B03C6">
            <w:pPr>
              <w:spacing w:after="0" w:line="240" w:lineRule="auto"/>
              <w:rPr>
                <w:rFonts w:ascii="Arial" w:eastAsia="Times New Roman" w:hAnsi="Arial" w:cs="Arial"/>
                <w:b/>
                <w:bCs/>
                <w:color w:val="000000"/>
                <w:spacing w:val="-16"/>
                <w:sz w:val="20"/>
                <w:szCs w:val="20"/>
                <w:lang w:eastAsia="it-IT"/>
              </w:rPr>
            </w:pPr>
            <w:r w:rsidRPr="00C25998">
              <w:rPr>
                <w:rFonts w:ascii="Arial" w:eastAsia="Times New Roman" w:hAnsi="Arial" w:cs="Arial"/>
                <w:b/>
                <w:bCs/>
                <w:color w:val="000000"/>
                <w:spacing w:val="-16"/>
                <w:sz w:val="20"/>
                <w:szCs w:val="20"/>
                <w:lang w:eastAsia="it-IT"/>
              </w:rPr>
              <w:t>**Margini**</w:t>
            </w:r>
          </w:p>
        </w:tc>
        <w:tc>
          <w:tcPr>
            <w:tcW w:w="1275" w:type="dxa"/>
            <w:tcBorders>
              <w:top w:val="nil"/>
              <w:left w:val="nil"/>
              <w:bottom w:val="single" w:sz="4" w:space="0" w:color="auto"/>
              <w:right w:val="single" w:sz="4" w:space="0" w:color="auto"/>
            </w:tcBorders>
            <w:shd w:val="clear" w:color="000000" w:fill="D9D9D9"/>
            <w:noWrap/>
            <w:vAlign w:val="center"/>
            <w:hideMark/>
          </w:tcPr>
          <w:p w14:paraId="35C115BD"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7" w:type="dxa"/>
            <w:tcBorders>
              <w:top w:val="nil"/>
              <w:left w:val="nil"/>
              <w:bottom w:val="single" w:sz="4" w:space="0" w:color="auto"/>
              <w:right w:val="single" w:sz="4" w:space="0" w:color="auto"/>
            </w:tcBorders>
            <w:shd w:val="clear" w:color="000000" w:fill="D9D9D9"/>
            <w:noWrap/>
            <w:vAlign w:val="center"/>
            <w:hideMark/>
          </w:tcPr>
          <w:p w14:paraId="4B6BB48C"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5" w:type="dxa"/>
            <w:tcBorders>
              <w:top w:val="nil"/>
              <w:left w:val="nil"/>
              <w:bottom w:val="single" w:sz="4" w:space="0" w:color="auto"/>
              <w:right w:val="single" w:sz="4" w:space="0" w:color="auto"/>
            </w:tcBorders>
            <w:shd w:val="clear" w:color="000000" w:fill="D9D9D9"/>
            <w:noWrap/>
            <w:vAlign w:val="center"/>
            <w:hideMark/>
          </w:tcPr>
          <w:p w14:paraId="7DFA443C"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0518A8C9" w14:textId="77777777" w:rsidR="001B03C6" w:rsidRPr="004D0CF0" w:rsidRDefault="001B03C6" w:rsidP="001B03C6">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r>
      <w:tr w:rsidR="001B03C6" w:rsidRPr="004D0CF0" w14:paraId="535CB203"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63CD6E52"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Margine operativo lordo (MOL)</w:t>
            </w:r>
          </w:p>
        </w:tc>
        <w:tc>
          <w:tcPr>
            <w:tcW w:w="1275" w:type="dxa"/>
            <w:tcBorders>
              <w:top w:val="nil"/>
              <w:left w:val="nil"/>
              <w:bottom w:val="single" w:sz="4" w:space="0" w:color="auto"/>
              <w:right w:val="single" w:sz="4" w:space="0" w:color="auto"/>
            </w:tcBorders>
            <w:shd w:val="clear" w:color="auto" w:fill="auto"/>
            <w:noWrap/>
            <w:vAlign w:val="center"/>
          </w:tcPr>
          <w:p w14:paraId="5B0E2CA9" w14:textId="408E4683"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49D42650" w14:textId="486F5C8C"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6ACE9983" w14:textId="733E541A"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12E41740" w14:textId="392D6334"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417370BE"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26260D09"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Risultato operativo (EBIT)</w:t>
            </w:r>
          </w:p>
        </w:tc>
        <w:tc>
          <w:tcPr>
            <w:tcW w:w="1275" w:type="dxa"/>
            <w:tcBorders>
              <w:top w:val="nil"/>
              <w:left w:val="nil"/>
              <w:bottom w:val="single" w:sz="4" w:space="0" w:color="auto"/>
              <w:right w:val="single" w:sz="4" w:space="0" w:color="auto"/>
            </w:tcBorders>
            <w:shd w:val="clear" w:color="auto" w:fill="auto"/>
            <w:noWrap/>
            <w:vAlign w:val="center"/>
          </w:tcPr>
          <w:p w14:paraId="1CCED3FC" w14:textId="44DE4A41"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45A7297D" w14:textId="1D43A22D"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8EF6A11" w14:textId="46B15B7C"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53C4D6DB" w14:textId="1D0F744C"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7DAAC257" w14:textId="77777777" w:rsidTr="00B44383">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04B8F30E" w14:textId="77777777" w:rsidR="001B03C6" w:rsidRPr="00C25998" w:rsidRDefault="001B03C6" w:rsidP="001B03C6">
            <w:pPr>
              <w:spacing w:after="0" w:line="240" w:lineRule="auto"/>
              <w:rPr>
                <w:rFonts w:ascii="Arial" w:eastAsia="Times New Roman" w:hAnsi="Arial" w:cs="Arial"/>
                <w:b/>
                <w:bCs/>
                <w:color w:val="000000"/>
                <w:spacing w:val="-16"/>
                <w:sz w:val="20"/>
                <w:szCs w:val="20"/>
                <w:lang w:eastAsia="it-IT"/>
              </w:rPr>
            </w:pPr>
            <w:r w:rsidRPr="00C25998">
              <w:rPr>
                <w:rFonts w:ascii="Arial" w:eastAsia="Times New Roman" w:hAnsi="Arial" w:cs="Arial"/>
                <w:b/>
                <w:bCs/>
                <w:color w:val="000000"/>
                <w:spacing w:val="-16"/>
                <w:sz w:val="20"/>
                <w:szCs w:val="20"/>
                <w:lang w:eastAsia="it-IT"/>
              </w:rPr>
              <w:t>**Indici**</w:t>
            </w:r>
          </w:p>
        </w:tc>
        <w:tc>
          <w:tcPr>
            <w:tcW w:w="1275" w:type="dxa"/>
            <w:tcBorders>
              <w:top w:val="nil"/>
              <w:left w:val="nil"/>
              <w:bottom w:val="single" w:sz="4" w:space="0" w:color="auto"/>
              <w:right w:val="single" w:sz="4" w:space="0" w:color="auto"/>
            </w:tcBorders>
            <w:shd w:val="clear" w:color="000000" w:fill="D9D9D9"/>
            <w:noWrap/>
            <w:vAlign w:val="center"/>
          </w:tcPr>
          <w:p w14:paraId="4651253F" w14:textId="77777777" w:rsidR="001B03C6" w:rsidRPr="004D0CF0" w:rsidRDefault="001B03C6" w:rsidP="001B03C6">
            <w:pPr>
              <w:spacing w:after="0" w:line="240" w:lineRule="auto"/>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000000" w:fill="D9D9D9"/>
            <w:noWrap/>
            <w:vAlign w:val="center"/>
          </w:tcPr>
          <w:p w14:paraId="320EAE77" w14:textId="77777777" w:rsidR="001B03C6" w:rsidRPr="004D0CF0" w:rsidRDefault="001B03C6" w:rsidP="001B03C6">
            <w:pPr>
              <w:spacing w:after="0" w:line="240" w:lineRule="auto"/>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000000" w:fill="D9D9D9"/>
            <w:noWrap/>
            <w:vAlign w:val="center"/>
          </w:tcPr>
          <w:p w14:paraId="7847D721" w14:textId="77777777" w:rsidR="001B03C6" w:rsidRPr="004D0CF0" w:rsidRDefault="001B03C6" w:rsidP="001B03C6">
            <w:pPr>
              <w:spacing w:after="0" w:line="240" w:lineRule="auto"/>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000000" w:fill="D9D9D9"/>
            <w:noWrap/>
            <w:vAlign w:val="center"/>
          </w:tcPr>
          <w:p w14:paraId="77150D43" w14:textId="77777777" w:rsidR="001B03C6" w:rsidRPr="004D0CF0" w:rsidRDefault="001B03C6" w:rsidP="001B03C6">
            <w:pPr>
              <w:spacing w:after="0" w:line="240" w:lineRule="auto"/>
              <w:rPr>
                <w:rFonts w:ascii="Arial" w:eastAsia="Times New Roman" w:hAnsi="Arial" w:cs="Arial"/>
                <w:color w:val="000000"/>
                <w:sz w:val="20"/>
                <w:szCs w:val="20"/>
                <w:lang w:eastAsia="it-IT"/>
              </w:rPr>
            </w:pPr>
          </w:p>
        </w:tc>
      </w:tr>
      <w:tr w:rsidR="001B03C6" w:rsidRPr="004D0CF0" w14:paraId="295328A0"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1AEE7F51"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Return on Equity (ROE)</w:t>
            </w:r>
          </w:p>
        </w:tc>
        <w:tc>
          <w:tcPr>
            <w:tcW w:w="1275" w:type="dxa"/>
            <w:tcBorders>
              <w:top w:val="nil"/>
              <w:left w:val="nil"/>
              <w:bottom w:val="single" w:sz="4" w:space="0" w:color="auto"/>
              <w:right w:val="single" w:sz="4" w:space="0" w:color="auto"/>
            </w:tcBorders>
            <w:shd w:val="clear" w:color="auto" w:fill="auto"/>
            <w:noWrap/>
            <w:vAlign w:val="center"/>
          </w:tcPr>
          <w:p w14:paraId="4A96F5B5" w14:textId="5EA377FC"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1C5CEBD6" w14:textId="4F170919"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3D0245E" w14:textId="41C4EF28"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531009C2" w14:textId="3B179AA9"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35FEE771"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764A5119"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Return on Investment (ROI)</w:t>
            </w:r>
          </w:p>
        </w:tc>
        <w:tc>
          <w:tcPr>
            <w:tcW w:w="1275" w:type="dxa"/>
            <w:tcBorders>
              <w:top w:val="nil"/>
              <w:left w:val="nil"/>
              <w:bottom w:val="single" w:sz="4" w:space="0" w:color="auto"/>
              <w:right w:val="single" w:sz="4" w:space="0" w:color="auto"/>
            </w:tcBorders>
            <w:shd w:val="clear" w:color="auto" w:fill="auto"/>
            <w:noWrap/>
            <w:vAlign w:val="center"/>
          </w:tcPr>
          <w:p w14:paraId="1C161728" w14:textId="65EE03B9"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168322BD" w14:textId="13952A07"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FD871E5" w14:textId="5C79FFD8"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6D9631BC" w14:textId="4F58EF3D"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r w:rsidR="001B03C6" w:rsidRPr="004D0CF0" w14:paraId="6E350655" w14:textId="77777777" w:rsidTr="00B44383">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0F01B47E" w14:textId="77777777" w:rsidR="001B03C6" w:rsidRPr="00C25998" w:rsidRDefault="001B03C6" w:rsidP="001B03C6">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Return on sales (ROS)</w:t>
            </w:r>
          </w:p>
        </w:tc>
        <w:tc>
          <w:tcPr>
            <w:tcW w:w="1275" w:type="dxa"/>
            <w:tcBorders>
              <w:top w:val="nil"/>
              <w:left w:val="nil"/>
              <w:bottom w:val="single" w:sz="4" w:space="0" w:color="auto"/>
              <w:right w:val="single" w:sz="4" w:space="0" w:color="auto"/>
            </w:tcBorders>
            <w:shd w:val="clear" w:color="auto" w:fill="auto"/>
            <w:noWrap/>
            <w:vAlign w:val="center"/>
          </w:tcPr>
          <w:p w14:paraId="4F760277" w14:textId="5299A1F3"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auto" w:fill="auto"/>
            <w:noWrap/>
            <w:vAlign w:val="center"/>
          </w:tcPr>
          <w:p w14:paraId="7D496E03" w14:textId="21DED4F9"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050E60AE" w14:textId="7C9D17D0"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auto" w:fill="auto"/>
            <w:noWrap/>
            <w:vAlign w:val="center"/>
          </w:tcPr>
          <w:p w14:paraId="139FA2CB" w14:textId="31A79215" w:rsidR="001B03C6" w:rsidRPr="004D0CF0" w:rsidRDefault="001B03C6" w:rsidP="001B03C6">
            <w:pPr>
              <w:spacing w:after="0" w:line="240" w:lineRule="auto"/>
              <w:jc w:val="right"/>
              <w:rPr>
                <w:rFonts w:ascii="Arial" w:eastAsia="Times New Roman" w:hAnsi="Arial" w:cs="Arial"/>
                <w:color w:val="000000"/>
                <w:sz w:val="20"/>
                <w:szCs w:val="20"/>
                <w:lang w:eastAsia="it-IT"/>
              </w:rPr>
            </w:pPr>
          </w:p>
        </w:tc>
      </w:tr>
    </w:tbl>
    <w:p w14:paraId="7EA5372C" w14:textId="77777777" w:rsidR="00F803A3" w:rsidRDefault="00F803A3" w:rsidP="004D0CF0">
      <w:pPr>
        <w:spacing w:after="0" w:line="240" w:lineRule="auto"/>
        <w:jc w:val="both"/>
        <w:rPr>
          <w:rFonts w:ascii="Garamond" w:eastAsia="MS Mincho" w:hAnsi="Garamond" w:cs="Times New Roman"/>
          <w:b/>
          <w:sz w:val="24"/>
          <w:szCs w:val="24"/>
          <w:lang w:eastAsia="it-IT"/>
        </w:rPr>
      </w:pPr>
    </w:p>
    <w:p w14:paraId="4BAB0F0B" w14:textId="77777777" w:rsidR="00F803A3" w:rsidRDefault="00F803A3" w:rsidP="004D0CF0">
      <w:pPr>
        <w:spacing w:after="0" w:line="240" w:lineRule="auto"/>
        <w:jc w:val="both"/>
        <w:rPr>
          <w:rFonts w:ascii="Garamond" w:eastAsia="MS Mincho" w:hAnsi="Garamond" w:cs="Times New Roman"/>
          <w:b/>
          <w:sz w:val="24"/>
          <w:szCs w:val="24"/>
          <w:lang w:eastAsia="it-IT"/>
        </w:rPr>
      </w:pPr>
    </w:p>
    <w:p w14:paraId="188448BC" w14:textId="77777777" w:rsidR="004D0CF0" w:rsidRPr="00353792" w:rsidRDefault="004D0CF0" w:rsidP="004D0CF0">
      <w:pPr>
        <w:spacing w:after="0" w:line="240" w:lineRule="auto"/>
        <w:jc w:val="both"/>
        <w:rPr>
          <w:rFonts w:ascii="Garamond" w:eastAsia="MS Mincho" w:hAnsi="Garamond" w:cs="Times New Roman (Corpo CS)"/>
          <w:b/>
          <w:bCs/>
          <w:sz w:val="24"/>
          <w:szCs w:val="24"/>
          <w:lang w:eastAsia="it-IT"/>
        </w:rPr>
      </w:pPr>
    </w:p>
    <w:p w14:paraId="25E71C74"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t>3.</w:t>
      </w:r>
      <w:r w:rsidRPr="004D0CF0">
        <w:rPr>
          <w:rFonts w:ascii="Garamond" w:eastAsia="MS Mincho" w:hAnsi="Garamond" w:cs="Times New Roman"/>
          <w:b/>
          <w:bCs/>
          <w:smallCaps/>
          <w:sz w:val="24"/>
          <w:szCs w:val="24"/>
          <w:lang w:eastAsia="it-IT"/>
        </w:rPr>
        <w:tab/>
        <w:t>Monitoraggio periodico.</w:t>
      </w:r>
    </w:p>
    <w:p w14:paraId="2E3B64E9"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379AFF29"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L’organo amministrativo provvederà a redigere con cadenza almeno semestrale un’apposita relazione avente a oggetto le attività di monitoraggio dei rischi in applicazione di quanto stabilito nel presente Programma.</w:t>
      </w:r>
    </w:p>
    <w:p w14:paraId="503B8A6E"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3AC7B17D"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Detta attività di monitoraggio è realizzata anche in adempimento di quanto prescritto ex art. 147-</w:t>
      </w:r>
      <w:r w:rsidRPr="004D0CF0">
        <w:rPr>
          <w:rFonts w:ascii="Garamond" w:eastAsia="MS Mincho" w:hAnsi="Garamond" w:cs="Times New Roman"/>
          <w:i/>
          <w:sz w:val="24"/>
          <w:szCs w:val="24"/>
          <w:lang w:eastAsia="it-IT"/>
        </w:rPr>
        <w:t>quater</w:t>
      </w:r>
      <w:r w:rsidRPr="004D0CF0">
        <w:rPr>
          <w:rFonts w:ascii="Garamond" w:eastAsia="MS Mincho" w:hAnsi="Garamond" w:cs="Times New Roman"/>
          <w:sz w:val="24"/>
          <w:szCs w:val="24"/>
          <w:lang w:eastAsia="it-IT"/>
        </w:rPr>
        <w:t xml:space="preserve"> del TUEL, a mente del quale, tra l’altro:</w:t>
      </w:r>
    </w:p>
    <w:p w14:paraId="19F0D537"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4730596D" w14:textId="77777777" w:rsidR="004D0CF0" w:rsidRPr="004D0CF0" w:rsidRDefault="004D0CF0" w:rsidP="004D0CF0">
      <w:pPr>
        <w:spacing w:after="0" w:line="240" w:lineRule="auto"/>
        <w:jc w:val="both"/>
        <w:rPr>
          <w:rFonts w:ascii="Garamond" w:eastAsia="MS Mincho" w:hAnsi="Garamond" w:cs="Times New Roman"/>
          <w:i/>
          <w:sz w:val="24"/>
          <w:szCs w:val="24"/>
          <w:lang w:eastAsia="it-IT"/>
        </w:rPr>
      </w:pPr>
      <w:r w:rsidRPr="004D0CF0">
        <w:rPr>
          <w:rFonts w:ascii="Garamond" w:eastAsia="MS Mincho" w:hAnsi="Garamond" w:cs="Times New Roman"/>
          <w:sz w:val="24"/>
          <w:szCs w:val="24"/>
          <w:lang w:eastAsia="it-IT"/>
        </w:rPr>
        <w:t>“</w:t>
      </w:r>
      <w:r w:rsidRPr="004D0CF0">
        <w:rPr>
          <w:rFonts w:ascii="Garamond" w:eastAsia="MS Mincho" w:hAnsi="Garamond" w:cs="Times New Roman"/>
          <w:i/>
          <w:sz w:val="24"/>
          <w:szCs w:val="24"/>
          <w:lang w:eastAsia="it-IT"/>
        </w:rPr>
        <w:t>L'ente locale definisce, secondo la propria autonomia organizzativa, un sistema di controlli sulle società non quotate, partecipate dallo stesso ente locale. Tali controlli sono esercitati dalle strutture proprie dell'ente locale, che ne sono responsabili. [co.1]</w:t>
      </w:r>
    </w:p>
    <w:p w14:paraId="24E37827" w14:textId="058D155A" w:rsidR="004D0CF0" w:rsidRPr="004D0CF0" w:rsidRDefault="004D0CF0" w:rsidP="004D0CF0">
      <w:pPr>
        <w:spacing w:after="0" w:line="240" w:lineRule="auto"/>
        <w:jc w:val="both"/>
        <w:rPr>
          <w:rFonts w:ascii="Garamond" w:eastAsia="MS Mincho" w:hAnsi="Garamond" w:cs="Times New Roman"/>
          <w:i/>
          <w:sz w:val="24"/>
          <w:szCs w:val="24"/>
          <w:lang w:eastAsia="it-IT"/>
        </w:rPr>
      </w:pPr>
      <w:r w:rsidRPr="004D0CF0">
        <w:rPr>
          <w:rFonts w:ascii="Garamond" w:eastAsia="MS Mincho" w:hAnsi="Garamond" w:cs="Times New Roman"/>
          <w:i/>
          <w:sz w:val="24"/>
          <w:szCs w:val="24"/>
          <w:lang w:eastAsia="it-IT"/>
        </w:rPr>
        <w:t xml:space="preserve">Per l'attuazione di quanto previsto al comma 1 del presente articolo, l'amministrazione definisce preventivamente, in riferimento all'articolo 170, comma 6, gli obiettivi gestionali a cui deve tendere la </w:t>
      </w:r>
      <w:r w:rsidR="00045863" w:rsidRPr="004D0CF0">
        <w:rPr>
          <w:rFonts w:ascii="Garamond" w:eastAsia="MS Mincho" w:hAnsi="Garamond" w:cs="Times New Roman"/>
          <w:i/>
          <w:sz w:val="24"/>
          <w:szCs w:val="24"/>
          <w:lang w:eastAsia="it-IT"/>
        </w:rPr>
        <w:t>società</w:t>
      </w:r>
      <w:r w:rsidRPr="004D0CF0">
        <w:rPr>
          <w:rFonts w:ascii="Garamond" w:eastAsia="MS Mincho" w:hAnsi="Garamond" w:cs="Times New Roman"/>
          <w:i/>
          <w:sz w:val="24"/>
          <w:szCs w:val="24"/>
          <w:lang w:eastAsia="it-IT"/>
        </w:rPr>
        <w:t xml:space="preserve"> partecipata, secondo parametri qualitativi e quantitativi, e organizza un idoneo sistema informativo finalizzato a rilevare i rapporti finanziari tra l'ente proprietario e la </w:t>
      </w:r>
      <w:r w:rsidR="00D66B95" w:rsidRPr="004D0CF0">
        <w:rPr>
          <w:rFonts w:ascii="Garamond" w:eastAsia="MS Mincho" w:hAnsi="Garamond" w:cs="Times New Roman"/>
          <w:i/>
          <w:sz w:val="24"/>
          <w:szCs w:val="24"/>
          <w:lang w:eastAsia="it-IT"/>
        </w:rPr>
        <w:t>società</w:t>
      </w:r>
      <w:r w:rsidRPr="004D0CF0">
        <w:rPr>
          <w:rFonts w:ascii="Garamond" w:eastAsia="MS Mincho" w:hAnsi="Garamond" w:cs="Times New Roman"/>
          <w:i/>
          <w:sz w:val="24"/>
          <w:szCs w:val="24"/>
          <w:lang w:eastAsia="it-IT"/>
        </w:rPr>
        <w:t xml:space="preserve">, la situazione contabile, gestionale e organizzativa della </w:t>
      </w:r>
      <w:r w:rsidR="00D66B95" w:rsidRPr="004D0CF0">
        <w:rPr>
          <w:rFonts w:ascii="Garamond" w:eastAsia="MS Mincho" w:hAnsi="Garamond" w:cs="Times New Roman"/>
          <w:i/>
          <w:sz w:val="24"/>
          <w:szCs w:val="24"/>
          <w:lang w:eastAsia="it-IT"/>
        </w:rPr>
        <w:t>società</w:t>
      </w:r>
      <w:r w:rsidRPr="004D0CF0">
        <w:rPr>
          <w:rFonts w:ascii="Garamond" w:eastAsia="MS Mincho" w:hAnsi="Garamond" w:cs="Times New Roman"/>
          <w:i/>
          <w:sz w:val="24"/>
          <w:szCs w:val="24"/>
          <w:lang w:eastAsia="it-IT"/>
        </w:rPr>
        <w:t xml:space="preserve">, i contratti di servizio, la </w:t>
      </w:r>
      <w:r w:rsidR="00D66B95" w:rsidRPr="004D0CF0">
        <w:rPr>
          <w:rFonts w:ascii="Garamond" w:eastAsia="MS Mincho" w:hAnsi="Garamond" w:cs="Times New Roman"/>
          <w:i/>
          <w:sz w:val="24"/>
          <w:szCs w:val="24"/>
          <w:lang w:eastAsia="it-IT"/>
        </w:rPr>
        <w:t>qualità</w:t>
      </w:r>
      <w:r w:rsidRPr="004D0CF0">
        <w:rPr>
          <w:rFonts w:ascii="Garamond" w:eastAsia="MS Mincho" w:hAnsi="Garamond" w:cs="Times New Roman"/>
          <w:i/>
          <w:sz w:val="24"/>
          <w:szCs w:val="24"/>
          <w:lang w:eastAsia="it-IT"/>
        </w:rPr>
        <w:t xml:space="preserve"> dei servizi, il rispetto delle norme di legge sui vincoli di finanza pubblica. [co.2]</w:t>
      </w:r>
    </w:p>
    <w:p w14:paraId="45852392" w14:textId="77777777" w:rsidR="004D0CF0" w:rsidRPr="004D0CF0" w:rsidRDefault="004D0CF0" w:rsidP="004D0CF0">
      <w:pPr>
        <w:spacing w:after="0" w:line="240" w:lineRule="auto"/>
        <w:jc w:val="both"/>
        <w:rPr>
          <w:rFonts w:ascii="Garamond" w:eastAsia="MS Mincho" w:hAnsi="Garamond" w:cs="Times New Roman"/>
          <w:i/>
          <w:sz w:val="24"/>
          <w:szCs w:val="24"/>
          <w:lang w:eastAsia="it-IT"/>
        </w:rPr>
      </w:pPr>
      <w:r w:rsidRPr="004D0CF0">
        <w:rPr>
          <w:rFonts w:ascii="Garamond" w:eastAsia="MS Mincho" w:hAnsi="Garamond" w:cs="Times New Roman"/>
          <w:i/>
          <w:sz w:val="24"/>
          <w:szCs w:val="24"/>
          <w:lang w:eastAsia="it-IT"/>
        </w:rPr>
        <w:t xml:space="preserve">Sulla base delle informazioni di cui al comma 2, l'ente locale effettua il monitoraggio periodico sull'andamento delle </w:t>
      </w:r>
      <w:r w:rsidR="00D66B95" w:rsidRPr="004D0CF0">
        <w:rPr>
          <w:rFonts w:ascii="Garamond" w:eastAsia="MS Mincho" w:hAnsi="Garamond" w:cs="Times New Roman"/>
          <w:i/>
          <w:sz w:val="24"/>
          <w:szCs w:val="24"/>
          <w:lang w:eastAsia="it-IT"/>
        </w:rPr>
        <w:t>società</w:t>
      </w:r>
      <w:r w:rsidRPr="004D0CF0">
        <w:rPr>
          <w:rFonts w:ascii="Garamond" w:eastAsia="MS Mincho" w:hAnsi="Garamond" w:cs="Times New Roman"/>
          <w:i/>
          <w:sz w:val="24"/>
          <w:szCs w:val="24"/>
          <w:lang w:eastAsia="it-IT"/>
        </w:rPr>
        <w:t xml:space="preserve"> non quotate partecipate, analizza gli scostamenti rispetto agli obiettivi assegnati e individua le opportune azioni correttive, anche in riferimento a possibili squilibri economico-finanziari rilevanti per il bilancio dell'ente. [co.3]</w:t>
      </w:r>
    </w:p>
    <w:p w14:paraId="1FB262BF" w14:textId="77777777" w:rsidR="004D0CF0" w:rsidRPr="004D0CF0" w:rsidRDefault="004D0CF0" w:rsidP="004D0CF0">
      <w:pPr>
        <w:spacing w:after="0" w:line="240" w:lineRule="auto"/>
        <w:jc w:val="both"/>
        <w:rPr>
          <w:rFonts w:ascii="Garamond" w:eastAsia="MS Mincho" w:hAnsi="Garamond" w:cs="Times New Roman"/>
          <w:i/>
          <w:sz w:val="24"/>
          <w:szCs w:val="24"/>
          <w:lang w:eastAsia="it-IT"/>
        </w:rPr>
      </w:pPr>
      <w:r w:rsidRPr="004D0CF0">
        <w:rPr>
          <w:rFonts w:ascii="Garamond" w:eastAsia="MS Mincho" w:hAnsi="Garamond" w:cs="Times New Roman"/>
          <w:i/>
          <w:sz w:val="24"/>
          <w:szCs w:val="24"/>
          <w:lang w:eastAsia="it-IT"/>
        </w:rPr>
        <w:t xml:space="preserve">I risultati complessivi della gestione dell'ente locale e delle aziende non quotate partecipate sono rilevati mediante bilancio consolidato, secondo la competenza economica, predisposto secondo le </w:t>
      </w:r>
      <w:r w:rsidR="00D66B95" w:rsidRPr="004D0CF0">
        <w:rPr>
          <w:rFonts w:ascii="Garamond" w:eastAsia="MS Mincho" w:hAnsi="Garamond" w:cs="Times New Roman"/>
          <w:i/>
          <w:sz w:val="24"/>
          <w:szCs w:val="24"/>
          <w:lang w:eastAsia="it-IT"/>
        </w:rPr>
        <w:t>modalità</w:t>
      </w:r>
      <w:r w:rsidRPr="004D0CF0">
        <w:rPr>
          <w:rFonts w:ascii="Garamond" w:eastAsia="MS Mincho" w:hAnsi="Garamond" w:cs="Times New Roman"/>
          <w:i/>
          <w:sz w:val="24"/>
          <w:szCs w:val="24"/>
          <w:lang w:eastAsia="it-IT"/>
        </w:rPr>
        <w:t xml:space="preserve"> previste dal decreto legislativo 23 giugno 2011, n. 118, e successive modificazioni. [co.4]. </w:t>
      </w:r>
    </w:p>
    <w:p w14:paraId="1982F089"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i/>
          <w:sz w:val="24"/>
          <w:szCs w:val="24"/>
          <w:lang w:eastAsia="it-IT"/>
        </w:rPr>
        <w:t xml:space="preserve">Le disposizioni del presente articolo si applicano, in fase di prima applicazione, agli enti locali con popolazione superiore a 100.000 abitanti, per l'anno 2014 agli enti locali con popolazione superiore a 50.000 abitanti e, a decorrere dall'anno 2015, agli enti locali con popolazione superiore a 15.000 abitanti, ad eccezione del comma 4, </w:t>
      </w:r>
      <w:r w:rsidRPr="004D0CF0">
        <w:rPr>
          <w:rFonts w:ascii="Garamond" w:eastAsia="MS Mincho" w:hAnsi="Garamond" w:cs="Times New Roman"/>
          <w:i/>
          <w:sz w:val="24"/>
          <w:szCs w:val="24"/>
          <w:lang w:eastAsia="it-IT"/>
        </w:rPr>
        <w:lastRenderedPageBreak/>
        <w:t xml:space="preserve">che si applica a tutti gli enti locali a decorrere dall'anno 2015, secondo le disposizioni recate dal decreto legislativo 23 giugno 2011, n. 118. Le disposizioni del presente articolo non si applicano alle </w:t>
      </w:r>
      <w:r w:rsidR="00D66B95" w:rsidRPr="004D0CF0">
        <w:rPr>
          <w:rFonts w:ascii="Garamond" w:eastAsia="MS Mincho" w:hAnsi="Garamond" w:cs="Times New Roman"/>
          <w:i/>
          <w:sz w:val="24"/>
          <w:szCs w:val="24"/>
          <w:lang w:eastAsia="it-IT"/>
        </w:rPr>
        <w:t>società</w:t>
      </w:r>
      <w:r w:rsidRPr="004D0CF0">
        <w:rPr>
          <w:rFonts w:ascii="Garamond" w:eastAsia="MS Mincho" w:hAnsi="Garamond" w:cs="Times New Roman"/>
          <w:i/>
          <w:sz w:val="24"/>
          <w:szCs w:val="24"/>
          <w:lang w:eastAsia="it-IT"/>
        </w:rPr>
        <w:t xml:space="preserve"> quotate e a quelle da esse controllate ai sensi dell'articolo 2359 del codice </w:t>
      </w:r>
      <w:r w:rsidR="00235917">
        <w:rPr>
          <w:rFonts w:ascii="Garamond" w:eastAsia="MS Mincho" w:hAnsi="Garamond" w:cs="Times New Roman"/>
          <w:i/>
          <w:sz w:val="24"/>
          <w:szCs w:val="24"/>
          <w:lang w:eastAsia="it-IT"/>
        </w:rPr>
        <w:t>civile. A tal fine, per società</w:t>
      </w:r>
      <w:r w:rsidRPr="004D0CF0">
        <w:rPr>
          <w:rFonts w:ascii="Garamond" w:eastAsia="MS Mincho" w:hAnsi="Garamond" w:cs="Times New Roman"/>
          <w:i/>
          <w:sz w:val="24"/>
          <w:szCs w:val="24"/>
          <w:lang w:eastAsia="it-IT"/>
        </w:rPr>
        <w:t xml:space="preserve"> quotate partecipate dagli enti di cui al presente a</w:t>
      </w:r>
      <w:r w:rsidR="00235917">
        <w:rPr>
          <w:rFonts w:ascii="Garamond" w:eastAsia="MS Mincho" w:hAnsi="Garamond" w:cs="Times New Roman"/>
          <w:i/>
          <w:sz w:val="24"/>
          <w:szCs w:val="24"/>
          <w:lang w:eastAsia="it-IT"/>
        </w:rPr>
        <w:t>rticolo si intendono le società</w:t>
      </w:r>
      <w:r w:rsidRPr="004D0CF0">
        <w:rPr>
          <w:rFonts w:ascii="Garamond" w:eastAsia="MS Mincho" w:hAnsi="Garamond" w:cs="Times New Roman"/>
          <w:i/>
          <w:sz w:val="24"/>
          <w:szCs w:val="24"/>
          <w:lang w:eastAsia="it-IT"/>
        </w:rPr>
        <w:t xml:space="preserve"> emittenti strumenti finanziari quotati in mercati regolamentati. [co.5]</w:t>
      </w:r>
      <w:r w:rsidRPr="004D0CF0">
        <w:rPr>
          <w:rFonts w:ascii="Garamond" w:eastAsia="MS Mincho" w:hAnsi="Garamond" w:cs="Times New Roman"/>
          <w:sz w:val="24"/>
          <w:szCs w:val="24"/>
          <w:lang w:eastAsia="it-IT"/>
        </w:rPr>
        <w:t>”</w:t>
      </w:r>
    </w:p>
    <w:p w14:paraId="4F52859F"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BDCF40A"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568ADDDA"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Copia delle relazioni aventi a oggetto le attività di monitoraggio dei rischi, anche ai fini dell’emersione e/o rilevazione di situazioni suscettibili di determinare l’emersione del rischio di crisi, sarà trasmessa all’organo di controllo e all’organo di revisione, che eserciterà in merito la vigilanza di sua competenza.</w:t>
      </w:r>
    </w:p>
    <w:p w14:paraId="286DD335"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84C5805"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xml:space="preserve">Le attività sopra menzionate saranno portate a conoscenza dell’assemblea nell’ambito della Relazione sul governo societario riferita al relativo esercizio. </w:t>
      </w:r>
    </w:p>
    <w:p w14:paraId="43D98165"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0A45E7C5"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In presenza di elementi sintomatici dell’esistenza di un rischio di crisi, l’organo amministrativo è tenuto a convocare senza indugio l’assemblea dei soci per verificare se risulti integrata la fattispecie di cui all’art. 14, co. 2, d.lgs. 175/2016 e per esprimere una valutazione sulla situazione economica, finanziaria e patrimoniale della Società.</w:t>
      </w:r>
    </w:p>
    <w:p w14:paraId="36D92F82"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450057E2"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L’organo amministrativo che rilevi uno o più profili di rischio di crisi aziendale in relazione agli indicatori considerati formulerà gli indirizzi per la redazione di idoneo piano di risanamento recante i provvedimenti necessari a prevenire l’aggravamento della crisi, correggerne gli effetti ed eliminarne le cause ai sensi dell’art. 14, co. 2, d.lgs. 175/2016.</w:t>
      </w:r>
    </w:p>
    <w:p w14:paraId="393841C8"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3E4076D7"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L’organo amministrativo sarà tenuto a provvedere alla predisposizione del predetto piano di risanamento, in un arco temporale necessario a svilupparlo e comunque in un periodo di tempo congruo tenendo conto della situazione economico-patrimoniale-finanziaria della società, da sottoporre all’approvazione dell’assemblea dei soci.</w:t>
      </w:r>
    </w:p>
    <w:p w14:paraId="4A1BE022"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A7263E0"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016E54F5" w14:textId="28B9C090" w:rsidR="004D0CF0" w:rsidRPr="004D0CF0" w:rsidRDefault="004D0CF0" w:rsidP="004D0CF0">
      <w:pPr>
        <w:spacing w:after="0" w:line="240" w:lineRule="auto"/>
        <w:ind w:left="360" w:hanging="360"/>
        <w:jc w:val="both"/>
        <w:rPr>
          <w:rFonts w:ascii="Garamond" w:eastAsia="MS Mincho" w:hAnsi="Garamond" w:cs="Times New Roman"/>
          <w:b/>
          <w:sz w:val="28"/>
          <w:szCs w:val="28"/>
          <w:lang w:eastAsia="it-IT"/>
        </w:rPr>
      </w:pPr>
      <w:r w:rsidRPr="004D0CF0">
        <w:rPr>
          <w:rFonts w:ascii="Garamond" w:eastAsia="MS Mincho" w:hAnsi="Garamond" w:cs="Times New Roman"/>
          <w:b/>
          <w:sz w:val="28"/>
          <w:szCs w:val="28"/>
          <w:lang w:eastAsia="it-IT"/>
        </w:rPr>
        <w:t>B.</w:t>
      </w:r>
      <w:r w:rsidRPr="004D0CF0">
        <w:rPr>
          <w:rFonts w:ascii="Garamond" w:eastAsia="MS Mincho" w:hAnsi="Garamond" w:cs="Times New Roman"/>
          <w:b/>
          <w:sz w:val="28"/>
          <w:szCs w:val="28"/>
          <w:lang w:eastAsia="it-IT"/>
        </w:rPr>
        <w:tab/>
        <w:t>RELAZIONE SU MONITORAGGIO E VERIFICA DEL RISCHIO DI CRISI AZIENDALE AL 31/12/</w:t>
      </w:r>
      <w:r w:rsidR="008D3193">
        <w:rPr>
          <w:rFonts w:ascii="Garamond" w:eastAsia="MS Mincho" w:hAnsi="Garamond" w:cs="Times New Roman"/>
          <w:b/>
          <w:sz w:val="28"/>
          <w:szCs w:val="28"/>
          <w:lang w:eastAsia="it-IT"/>
        </w:rPr>
        <w:t>20</w:t>
      </w:r>
      <w:r w:rsidR="004D2B95">
        <w:rPr>
          <w:rFonts w:ascii="Garamond" w:eastAsia="MS Mincho" w:hAnsi="Garamond" w:cs="Times New Roman"/>
          <w:b/>
          <w:sz w:val="28"/>
          <w:szCs w:val="28"/>
          <w:lang w:eastAsia="it-IT"/>
        </w:rPr>
        <w:t>2</w:t>
      </w:r>
      <w:r w:rsidR="00C00B30">
        <w:rPr>
          <w:rFonts w:ascii="Garamond" w:eastAsia="MS Mincho" w:hAnsi="Garamond" w:cs="Times New Roman"/>
          <w:b/>
          <w:sz w:val="28"/>
          <w:szCs w:val="28"/>
          <w:lang w:eastAsia="it-IT"/>
        </w:rPr>
        <w:t>4</w:t>
      </w:r>
      <w:r w:rsidRPr="004D0CF0">
        <w:rPr>
          <w:rFonts w:ascii="Garamond" w:eastAsia="MS Mincho" w:hAnsi="Garamond" w:cs="Times New Roman"/>
          <w:b/>
          <w:sz w:val="28"/>
          <w:szCs w:val="28"/>
          <w:lang w:eastAsia="it-IT"/>
        </w:rPr>
        <w:t>.</w:t>
      </w:r>
    </w:p>
    <w:p w14:paraId="00BDE08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0F5C0E6A" w14:textId="6FA5BE28"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xml:space="preserve">In adempimento al Programma di valutazione del rischio approvato dall’organo amministrativo con deliberazione </w:t>
      </w:r>
      <w:r w:rsidRPr="002D315B">
        <w:rPr>
          <w:rFonts w:ascii="Garamond" w:eastAsia="MS Mincho" w:hAnsi="Garamond" w:cs="Times New Roman"/>
          <w:sz w:val="24"/>
          <w:szCs w:val="24"/>
          <w:lang w:eastAsia="it-IT"/>
        </w:rPr>
        <w:t>in data</w:t>
      </w:r>
      <w:r w:rsidR="00C76540" w:rsidRPr="002D315B">
        <w:rPr>
          <w:rFonts w:ascii="Garamond" w:eastAsia="MS Mincho" w:hAnsi="Garamond" w:cs="Times New Roman"/>
          <w:sz w:val="24"/>
          <w:szCs w:val="24"/>
          <w:lang w:eastAsia="it-IT"/>
        </w:rPr>
        <w:t xml:space="preserve"> 10 giugno 2019</w:t>
      </w:r>
      <w:r w:rsidRPr="00DC666C">
        <w:rPr>
          <w:rFonts w:ascii="Garamond" w:eastAsia="MS Mincho" w:hAnsi="Garamond" w:cs="Times New Roman"/>
          <w:sz w:val="24"/>
          <w:szCs w:val="24"/>
          <w:u w:val="single"/>
          <w:lang w:eastAsia="it-IT"/>
        </w:rPr>
        <w:t>,</w:t>
      </w:r>
      <w:r w:rsidRPr="004D0CF0">
        <w:rPr>
          <w:rFonts w:ascii="Garamond" w:eastAsia="MS Mincho" w:hAnsi="Garamond" w:cs="Times New Roman"/>
          <w:sz w:val="24"/>
          <w:szCs w:val="24"/>
          <w:lang w:eastAsia="it-IT"/>
        </w:rPr>
        <w:t xml:space="preserve"> si è proceduto all’attività di monitoraggio e di verifica del rischio aziendale le cui risultanze, con riferimento alla data del 31/12/</w:t>
      </w:r>
      <w:r w:rsidR="005B749C">
        <w:rPr>
          <w:rFonts w:ascii="Garamond" w:eastAsia="MS Mincho" w:hAnsi="Garamond" w:cs="Times New Roman"/>
          <w:sz w:val="24"/>
          <w:szCs w:val="24"/>
          <w:lang w:eastAsia="it-IT"/>
        </w:rPr>
        <w:t>202</w:t>
      </w:r>
      <w:r w:rsidR="00C00B30">
        <w:rPr>
          <w:rFonts w:ascii="Garamond" w:eastAsia="MS Mincho" w:hAnsi="Garamond" w:cs="Times New Roman"/>
          <w:sz w:val="24"/>
          <w:szCs w:val="24"/>
          <w:lang w:eastAsia="it-IT"/>
        </w:rPr>
        <w:t>4</w:t>
      </w:r>
      <w:r w:rsidRPr="004D0CF0">
        <w:rPr>
          <w:rFonts w:ascii="Garamond" w:eastAsia="MS Mincho" w:hAnsi="Garamond" w:cs="Times New Roman"/>
          <w:sz w:val="24"/>
          <w:szCs w:val="24"/>
          <w:lang w:eastAsia="it-IT"/>
        </w:rPr>
        <w:t>, sono di seguito evidenziate.</w:t>
      </w:r>
    </w:p>
    <w:p w14:paraId="59A1B648"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BDADB6F"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t>1.</w:t>
      </w:r>
      <w:r w:rsidRPr="004D0CF0">
        <w:rPr>
          <w:rFonts w:ascii="Garamond" w:eastAsia="MS Mincho" w:hAnsi="Garamond" w:cs="Times New Roman"/>
          <w:b/>
          <w:bCs/>
          <w:smallCaps/>
          <w:sz w:val="24"/>
          <w:szCs w:val="24"/>
          <w:lang w:eastAsia="it-IT"/>
        </w:rPr>
        <w:tab/>
        <w:t>La Società.</w:t>
      </w:r>
    </w:p>
    <w:p w14:paraId="06210972" w14:textId="6DD273D7" w:rsidR="004D0CF0" w:rsidRDefault="004D0CF0" w:rsidP="004D0CF0">
      <w:pPr>
        <w:spacing w:after="0" w:line="240" w:lineRule="auto"/>
        <w:jc w:val="both"/>
        <w:rPr>
          <w:rFonts w:ascii="Garamond" w:eastAsia="MS Mincho" w:hAnsi="Garamond" w:cs="Times New Roman"/>
          <w:sz w:val="24"/>
          <w:szCs w:val="24"/>
          <w:lang w:eastAsia="it-IT"/>
        </w:rPr>
      </w:pPr>
    </w:p>
    <w:p w14:paraId="3C73FEE8" w14:textId="1E13C1E2" w:rsidR="004D0CF0" w:rsidRDefault="00F810B6" w:rsidP="00F810B6">
      <w:pPr>
        <w:spacing w:after="0" w:line="240" w:lineRule="auto"/>
        <w:jc w:val="both"/>
        <w:rPr>
          <w:rFonts w:ascii="Garamond" w:eastAsia="MS Mincho" w:hAnsi="Garamond" w:cs="Times New Roman"/>
          <w:sz w:val="24"/>
          <w:szCs w:val="24"/>
          <w:lang w:eastAsia="it-IT"/>
        </w:rPr>
      </w:pPr>
      <w:r>
        <w:rPr>
          <w:rFonts w:ascii="Garamond" w:eastAsia="MS Mincho" w:hAnsi="Garamond" w:cs="Times New Roman"/>
          <w:sz w:val="24"/>
          <w:szCs w:val="24"/>
          <w:lang w:eastAsia="it-IT"/>
        </w:rPr>
        <w:t>Società affidataria in house providing del servizio di riscossione volontaria e coattiva dei tributi ed entrate patrimoniali del Comune di Civitanova Marche</w:t>
      </w:r>
      <w:r w:rsidR="00B83021">
        <w:rPr>
          <w:rFonts w:ascii="Garamond" w:eastAsia="MS Mincho" w:hAnsi="Garamond" w:cs="Times New Roman"/>
          <w:sz w:val="24"/>
          <w:szCs w:val="24"/>
          <w:lang w:eastAsia="it-IT"/>
        </w:rPr>
        <w:t>, della gestione dei parcheggi a pagamento e della manutenzione degli ascensori pubblici</w:t>
      </w:r>
    </w:p>
    <w:p w14:paraId="3B0EC0D5" w14:textId="77777777" w:rsidR="00F810B6" w:rsidRDefault="00F810B6" w:rsidP="00F810B6">
      <w:pPr>
        <w:spacing w:after="0" w:line="240" w:lineRule="auto"/>
        <w:jc w:val="both"/>
        <w:rPr>
          <w:rFonts w:ascii="Garamond" w:eastAsia="MS Mincho" w:hAnsi="Garamond" w:cs="Times New Roman"/>
          <w:i/>
          <w:color w:val="00B0F0"/>
          <w:sz w:val="24"/>
          <w:szCs w:val="24"/>
          <w:lang w:eastAsia="it-IT"/>
        </w:rPr>
      </w:pPr>
    </w:p>
    <w:p w14:paraId="6FD9C80D" w14:textId="77777777" w:rsidR="004B04A5" w:rsidRDefault="004B04A5" w:rsidP="00F810B6">
      <w:pPr>
        <w:spacing w:after="0" w:line="240" w:lineRule="auto"/>
        <w:jc w:val="both"/>
        <w:rPr>
          <w:rFonts w:ascii="Garamond" w:eastAsia="MS Mincho" w:hAnsi="Garamond" w:cs="Times New Roman"/>
          <w:i/>
          <w:color w:val="00B0F0"/>
          <w:sz w:val="24"/>
          <w:szCs w:val="24"/>
          <w:lang w:eastAsia="it-IT"/>
        </w:rPr>
      </w:pPr>
    </w:p>
    <w:p w14:paraId="10DC9A2E" w14:textId="77777777" w:rsidR="004B04A5" w:rsidRPr="004D0CF0" w:rsidRDefault="004B04A5" w:rsidP="00F810B6">
      <w:pPr>
        <w:spacing w:after="0" w:line="240" w:lineRule="auto"/>
        <w:jc w:val="both"/>
        <w:rPr>
          <w:rFonts w:ascii="Garamond" w:eastAsia="MS Mincho" w:hAnsi="Garamond" w:cs="Times New Roman"/>
          <w:i/>
          <w:color w:val="00B0F0"/>
          <w:sz w:val="24"/>
          <w:szCs w:val="24"/>
          <w:lang w:eastAsia="it-IT"/>
        </w:rPr>
      </w:pPr>
    </w:p>
    <w:p w14:paraId="4906CF5D"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6D9FC590" w14:textId="77777777" w:rsidR="001177AD" w:rsidRDefault="001177AD" w:rsidP="004D0CF0">
      <w:pPr>
        <w:spacing w:after="0" w:line="240" w:lineRule="auto"/>
        <w:jc w:val="both"/>
        <w:rPr>
          <w:rFonts w:ascii="Garamond" w:eastAsia="MS Mincho" w:hAnsi="Garamond" w:cs="Times New Roman"/>
          <w:b/>
          <w:bCs/>
          <w:smallCaps/>
          <w:sz w:val="24"/>
          <w:szCs w:val="24"/>
          <w:lang w:eastAsia="it-IT"/>
        </w:rPr>
      </w:pPr>
    </w:p>
    <w:p w14:paraId="256B1209" w14:textId="77777777" w:rsidR="001177AD" w:rsidRDefault="001177AD" w:rsidP="004D0CF0">
      <w:pPr>
        <w:spacing w:after="0" w:line="240" w:lineRule="auto"/>
        <w:jc w:val="both"/>
        <w:rPr>
          <w:rFonts w:ascii="Garamond" w:eastAsia="MS Mincho" w:hAnsi="Garamond" w:cs="Times New Roman"/>
          <w:b/>
          <w:bCs/>
          <w:smallCaps/>
          <w:sz w:val="24"/>
          <w:szCs w:val="24"/>
          <w:lang w:eastAsia="it-IT"/>
        </w:rPr>
      </w:pPr>
    </w:p>
    <w:p w14:paraId="254E0EC2"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lastRenderedPageBreak/>
        <w:t>2.</w:t>
      </w:r>
      <w:r w:rsidRPr="004D0CF0">
        <w:rPr>
          <w:rFonts w:ascii="Garamond" w:eastAsia="MS Mincho" w:hAnsi="Garamond" w:cs="Times New Roman"/>
          <w:b/>
          <w:bCs/>
          <w:smallCaps/>
          <w:sz w:val="24"/>
          <w:szCs w:val="24"/>
          <w:lang w:eastAsia="it-IT"/>
        </w:rPr>
        <w:tab/>
        <w:t>La compagine sociale.</w:t>
      </w:r>
    </w:p>
    <w:p w14:paraId="3E98F880"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0D82200B" w14:textId="08D58CF2"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L’assetto proprietario della Società al 31/12/</w:t>
      </w:r>
      <w:r w:rsidR="00F810B6">
        <w:rPr>
          <w:rFonts w:ascii="Garamond" w:eastAsia="MS Mincho" w:hAnsi="Garamond" w:cs="Times New Roman"/>
          <w:sz w:val="24"/>
          <w:szCs w:val="24"/>
          <w:lang w:eastAsia="it-IT"/>
        </w:rPr>
        <w:t>20</w:t>
      </w:r>
      <w:r w:rsidR="004D2B95">
        <w:rPr>
          <w:rFonts w:ascii="Garamond" w:eastAsia="MS Mincho" w:hAnsi="Garamond" w:cs="Times New Roman"/>
          <w:sz w:val="24"/>
          <w:szCs w:val="24"/>
          <w:lang w:eastAsia="it-IT"/>
        </w:rPr>
        <w:t>2</w:t>
      </w:r>
      <w:r w:rsidR="00C00B30">
        <w:rPr>
          <w:rFonts w:ascii="Garamond" w:eastAsia="MS Mincho" w:hAnsi="Garamond" w:cs="Times New Roman"/>
          <w:sz w:val="24"/>
          <w:szCs w:val="24"/>
          <w:lang w:eastAsia="it-IT"/>
        </w:rPr>
        <w:t>4</w:t>
      </w:r>
      <w:r w:rsidRPr="004D0CF0">
        <w:rPr>
          <w:rFonts w:ascii="Garamond" w:eastAsia="MS Mincho" w:hAnsi="Garamond" w:cs="Times New Roman"/>
          <w:sz w:val="24"/>
          <w:szCs w:val="24"/>
          <w:lang w:eastAsia="it-IT"/>
        </w:rPr>
        <w:t xml:space="preserve"> è il seguente:</w:t>
      </w:r>
    </w:p>
    <w:p w14:paraId="5413FBCB"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717F947C" w14:textId="53CF3AEA" w:rsidR="004D0CF0" w:rsidRDefault="00F810B6" w:rsidP="004D0CF0">
      <w:pPr>
        <w:spacing w:after="0" w:line="240" w:lineRule="auto"/>
        <w:jc w:val="both"/>
        <w:rPr>
          <w:rFonts w:ascii="Garamond" w:eastAsia="MS Mincho" w:hAnsi="Garamond" w:cs="Times New Roman"/>
          <w:sz w:val="24"/>
          <w:szCs w:val="24"/>
          <w:lang w:eastAsia="it-IT"/>
        </w:rPr>
      </w:pPr>
      <w:r>
        <w:rPr>
          <w:rFonts w:ascii="Garamond" w:eastAsia="MS Mincho" w:hAnsi="Garamond" w:cs="Times New Roman"/>
          <w:sz w:val="24"/>
          <w:szCs w:val="24"/>
          <w:lang w:eastAsia="it-IT"/>
        </w:rPr>
        <w:t>Comune di Civitanova Marche, unico socio, con capitale sociale di euro 50.000,00</w:t>
      </w:r>
    </w:p>
    <w:p w14:paraId="20C09478" w14:textId="77777777" w:rsidR="00F810B6" w:rsidRDefault="00F810B6" w:rsidP="004D0CF0">
      <w:pPr>
        <w:spacing w:after="0" w:line="240" w:lineRule="auto"/>
        <w:jc w:val="both"/>
        <w:rPr>
          <w:rFonts w:ascii="Garamond" w:eastAsia="MS Mincho" w:hAnsi="Garamond" w:cs="Times New Roman"/>
          <w:sz w:val="24"/>
          <w:szCs w:val="24"/>
          <w:lang w:eastAsia="it-IT"/>
        </w:rPr>
      </w:pPr>
    </w:p>
    <w:p w14:paraId="46705940"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t>3.</w:t>
      </w:r>
      <w:r w:rsidRPr="004D0CF0">
        <w:rPr>
          <w:rFonts w:ascii="Garamond" w:eastAsia="MS Mincho" w:hAnsi="Garamond" w:cs="Times New Roman"/>
          <w:b/>
          <w:bCs/>
          <w:smallCaps/>
          <w:sz w:val="24"/>
          <w:szCs w:val="24"/>
          <w:lang w:eastAsia="it-IT"/>
        </w:rPr>
        <w:tab/>
        <w:t>Organo amministrativo</w:t>
      </w:r>
    </w:p>
    <w:p w14:paraId="5F1CBDFF"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6CB1BFFE" w14:textId="30951DFF" w:rsidR="004D0CF0" w:rsidRPr="004D0CF0" w:rsidRDefault="004D0CF0" w:rsidP="004D0CF0">
      <w:pPr>
        <w:spacing w:after="0" w:line="240" w:lineRule="auto"/>
        <w:jc w:val="both"/>
        <w:rPr>
          <w:rFonts w:ascii="Garamond" w:eastAsia="MS Mincho" w:hAnsi="Garamond" w:cs="Times New Roman"/>
          <w:sz w:val="24"/>
          <w:szCs w:val="24"/>
          <w:lang w:eastAsia="it-IT"/>
        </w:rPr>
      </w:pPr>
      <w:r w:rsidRPr="00F810B6">
        <w:rPr>
          <w:rFonts w:ascii="Garamond" w:eastAsia="MS Mincho" w:hAnsi="Garamond" w:cs="Times New Roman"/>
          <w:sz w:val="24"/>
          <w:szCs w:val="24"/>
          <w:lang w:eastAsia="it-IT"/>
        </w:rPr>
        <w:t xml:space="preserve">L’organo </w:t>
      </w:r>
      <w:r w:rsidR="00D66B95" w:rsidRPr="00F810B6">
        <w:rPr>
          <w:rFonts w:ascii="Garamond" w:eastAsia="MS Mincho" w:hAnsi="Garamond" w:cs="Times New Roman"/>
          <w:sz w:val="24"/>
          <w:szCs w:val="24"/>
          <w:lang w:eastAsia="it-IT"/>
        </w:rPr>
        <w:t xml:space="preserve">amministrativo è costituito da </w:t>
      </w:r>
      <w:r w:rsidR="00045863" w:rsidRPr="00F810B6">
        <w:rPr>
          <w:rFonts w:ascii="Garamond" w:eastAsia="MS Mincho" w:hAnsi="Garamond" w:cs="Times New Roman"/>
          <w:sz w:val="24"/>
          <w:szCs w:val="24"/>
          <w:lang w:eastAsia="it-IT"/>
        </w:rPr>
        <w:t>C.d.A.</w:t>
      </w:r>
      <w:r w:rsidRPr="00F810B6">
        <w:rPr>
          <w:rFonts w:ascii="Garamond" w:eastAsia="MS Mincho" w:hAnsi="Garamond" w:cs="Times New Roman"/>
          <w:sz w:val="24"/>
          <w:szCs w:val="24"/>
          <w:lang w:eastAsia="it-IT"/>
        </w:rPr>
        <w:t xml:space="preserve">, nominato con delibera assembleare in data </w:t>
      </w:r>
      <w:r w:rsidR="003802B7">
        <w:rPr>
          <w:rFonts w:ascii="Garamond" w:eastAsia="MS Mincho" w:hAnsi="Garamond" w:cs="Times New Roman"/>
          <w:sz w:val="24"/>
          <w:szCs w:val="24"/>
          <w:lang w:eastAsia="it-IT"/>
        </w:rPr>
        <w:t>25/07/2024</w:t>
      </w:r>
      <w:r w:rsidRPr="00F810B6">
        <w:rPr>
          <w:rFonts w:ascii="Garamond" w:eastAsia="MS Mincho" w:hAnsi="Garamond" w:cs="Times New Roman"/>
          <w:sz w:val="24"/>
          <w:szCs w:val="24"/>
          <w:lang w:eastAsia="it-IT"/>
        </w:rPr>
        <w:t>, e rimarrà in carica sino all’approvazione del bilancio al 31/12/</w:t>
      </w:r>
      <w:r w:rsidR="00F810B6">
        <w:rPr>
          <w:rFonts w:ascii="Garamond" w:eastAsia="MS Mincho" w:hAnsi="Garamond" w:cs="Times New Roman"/>
          <w:sz w:val="24"/>
          <w:szCs w:val="24"/>
          <w:lang w:eastAsia="it-IT"/>
        </w:rPr>
        <w:t>2</w:t>
      </w:r>
      <w:r w:rsidR="00F810B6" w:rsidRPr="00F810B6">
        <w:rPr>
          <w:rFonts w:ascii="Garamond" w:eastAsia="MS Mincho" w:hAnsi="Garamond" w:cs="Times New Roman"/>
          <w:sz w:val="24"/>
          <w:szCs w:val="24"/>
          <w:lang w:eastAsia="it-IT"/>
        </w:rPr>
        <w:t>02</w:t>
      </w:r>
      <w:r w:rsidR="003802B7">
        <w:rPr>
          <w:rFonts w:ascii="Garamond" w:eastAsia="MS Mincho" w:hAnsi="Garamond" w:cs="Times New Roman"/>
          <w:sz w:val="24"/>
          <w:szCs w:val="24"/>
          <w:lang w:eastAsia="it-IT"/>
        </w:rPr>
        <w:t>6</w:t>
      </w:r>
    </w:p>
    <w:p w14:paraId="21423C3A" w14:textId="6BCB51D4" w:rsidR="004D0CF0" w:rsidRDefault="00F810B6" w:rsidP="00F810B6">
      <w:pPr>
        <w:pStyle w:val="Paragrafoelenco"/>
        <w:numPr>
          <w:ilvl w:val="0"/>
          <w:numId w:val="1"/>
        </w:numPr>
        <w:spacing w:after="0" w:line="240" w:lineRule="auto"/>
        <w:jc w:val="both"/>
        <w:rPr>
          <w:rFonts w:ascii="Garamond" w:eastAsia="MS Mincho" w:hAnsi="Garamond" w:cs="Times New Roman"/>
          <w:iCs/>
          <w:sz w:val="24"/>
          <w:szCs w:val="24"/>
          <w:lang w:eastAsia="it-IT"/>
        </w:rPr>
      </w:pPr>
      <w:r w:rsidRPr="00F810B6">
        <w:rPr>
          <w:rFonts w:ascii="Garamond" w:eastAsia="MS Mincho" w:hAnsi="Garamond" w:cs="Times New Roman"/>
          <w:iCs/>
          <w:sz w:val="24"/>
          <w:szCs w:val="24"/>
          <w:lang w:eastAsia="it-IT"/>
        </w:rPr>
        <w:t xml:space="preserve">Carusone Antonio </w:t>
      </w:r>
      <w:r>
        <w:rPr>
          <w:rFonts w:ascii="Garamond" w:eastAsia="MS Mincho" w:hAnsi="Garamond" w:cs="Times New Roman"/>
          <w:iCs/>
          <w:sz w:val="24"/>
          <w:szCs w:val="24"/>
          <w:lang w:eastAsia="it-IT"/>
        </w:rPr>
        <w:t>–</w:t>
      </w:r>
      <w:r w:rsidRPr="00F810B6">
        <w:rPr>
          <w:rFonts w:ascii="Garamond" w:eastAsia="MS Mincho" w:hAnsi="Garamond" w:cs="Times New Roman"/>
          <w:iCs/>
          <w:sz w:val="24"/>
          <w:szCs w:val="24"/>
          <w:lang w:eastAsia="it-IT"/>
        </w:rPr>
        <w:t xml:space="preserve"> Presidente</w:t>
      </w:r>
      <w:r>
        <w:rPr>
          <w:rFonts w:ascii="Garamond" w:eastAsia="MS Mincho" w:hAnsi="Garamond" w:cs="Times New Roman"/>
          <w:iCs/>
          <w:sz w:val="24"/>
          <w:szCs w:val="24"/>
          <w:lang w:eastAsia="it-IT"/>
        </w:rPr>
        <w:t>;</w:t>
      </w:r>
    </w:p>
    <w:p w14:paraId="76249987" w14:textId="7CF34B22" w:rsidR="00F810B6" w:rsidRDefault="003802B7" w:rsidP="00F810B6">
      <w:pPr>
        <w:pStyle w:val="Paragrafoelenco"/>
        <w:numPr>
          <w:ilvl w:val="0"/>
          <w:numId w:val="1"/>
        </w:numPr>
        <w:spacing w:after="0" w:line="240" w:lineRule="auto"/>
        <w:jc w:val="both"/>
        <w:rPr>
          <w:rFonts w:ascii="Garamond" w:eastAsia="MS Mincho" w:hAnsi="Garamond" w:cs="Times New Roman"/>
          <w:iCs/>
          <w:sz w:val="24"/>
          <w:szCs w:val="24"/>
          <w:lang w:eastAsia="it-IT"/>
        </w:rPr>
      </w:pPr>
      <w:r>
        <w:rPr>
          <w:rFonts w:ascii="Garamond" w:eastAsia="MS Mincho" w:hAnsi="Garamond" w:cs="Times New Roman"/>
          <w:iCs/>
          <w:sz w:val="24"/>
          <w:szCs w:val="24"/>
          <w:lang w:eastAsia="it-IT"/>
        </w:rPr>
        <w:t>Bianchini Federica</w:t>
      </w:r>
    </w:p>
    <w:p w14:paraId="33451995" w14:textId="4C484FC0" w:rsidR="003802B7" w:rsidRDefault="003802B7" w:rsidP="00F810B6">
      <w:pPr>
        <w:pStyle w:val="Paragrafoelenco"/>
        <w:numPr>
          <w:ilvl w:val="0"/>
          <w:numId w:val="1"/>
        </w:numPr>
        <w:spacing w:after="0" w:line="240" w:lineRule="auto"/>
        <w:jc w:val="both"/>
        <w:rPr>
          <w:rFonts w:ascii="Garamond" w:eastAsia="MS Mincho" w:hAnsi="Garamond" w:cs="Times New Roman"/>
          <w:iCs/>
          <w:sz w:val="24"/>
          <w:szCs w:val="24"/>
          <w:lang w:eastAsia="it-IT"/>
        </w:rPr>
      </w:pPr>
      <w:r>
        <w:rPr>
          <w:rFonts w:ascii="Garamond" w:eastAsia="MS Mincho" w:hAnsi="Garamond" w:cs="Times New Roman"/>
          <w:iCs/>
          <w:sz w:val="24"/>
          <w:szCs w:val="24"/>
          <w:lang w:eastAsia="it-IT"/>
        </w:rPr>
        <w:t>Chierichetti Katia</w:t>
      </w:r>
    </w:p>
    <w:p w14:paraId="1C9647AC" w14:textId="0D28506B" w:rsidR="003802B7" w:rsidRDefault="003802B7" w:rsidP="00F810B6">
      <w:pPr>
        <w:pStyle w:val="Paragrafoelenco"/>
        <w:numPr>
          <w:ilvl w:val="0"/>
          <w:numId w:val="1"/>
        </w:numPr>
        <w:spacing w:after="0" w:line="240" w:lineRule="auto"/>
        <w:jc w:val="both"/>
        <w:rPr>
          <w:rFonts w:ascii="Garamond" w:eastAsia="MS Mincho" w:hAnsi="Garamond" w:cs="Times New Roman"/>
          <w:iCs/>
          <w:sz w:val="24"/>
          <w:szCs w:val="24"/>
          <w:lang w:eastAsia="it-IT"/>
        </w:rPr>
      </w:pPr>
      <w:r>
        <w:rPr>
          <w:rFonts w:ascii="Garamond" w:eastAsia="MS Mincho" w:hAnsi="Garamond" w:cs="Times New Roman"/>
          <w:iCs/>
          <w:sz w:val="24"/>
          <w:szCs w:val="24"/>
          <w:lang w:eastAsia="it-IT"/>
        </w:rPr>
        <w:t>Bucosse Sergio</w:t>
      </w:r>
      <w:bookmarkStart w:id="0" w:name="_GoBack"/>
      <w:bookmarkEnd w:id="0"/>
    </w:p>
    <w:p w14:paraId="777BE6AA" w14:textId="64DA70CF" w:rsidR="00F810B6" w:rsidRPr="00F810B6" w:rsidRDefault="00F810B6" w:rsidP="00F810B6">
      <w:pPr>
        <w:pStyle w:val="Paragrafoelenco"/>
        <w:numPr>
          <w:ilvl w:val="0"/>
          <w:numId w:val="1"/>
        </w:numPr>
        <w:spacing w:after="0" w:line="240" w:lineRule="auto"/>
        <w:jc w:val="both"/>
        <w:rPr>
          <w:rFonts w:ascii="Garamond" w:eastAsia="MS Mincho" w:hAnsi="Garamond" w:cs="Times New Roman"/>
          <w:iCs/>
          <w:sz w:val="24"/>
          <w:szCs w:val="24"/>
          <w:lang w:eastAsia="it-IT"/>
        </w:rPr>
      </w:pPr>
      <w:r>
        <w:rPr>
          <w:rFonts w:ascii="Garamond" w:eastAsia="MS Mincho" w:hAnsi="Garamond" w:cs="Times New Roman"/>
          <w:iCs/>
          <w:sz w:val="24"/>
          <w:szCs w:val="24"/>
          <w:lang w:eastAsia="it-IT"/>
        </w:rPr>
        <w:t>Petillo Antonio</w:t>
      </w:r>
    </w:p>
    <w:p w14:paraId="47A027B8" w14:textId="77777777" w:rsidR="00F810B6" w:rsidRPr="004D0CF0" w:rsidRDefault="00F810B6" w:rsidP="004D0CF0">
      <w:pPr>
        <w:spacing w:after="0" w:line="240" w:lineRule="auto"/>
        <w:jc w:val="both"/>
        <w:rPr>
          <w:rFonts w:ascii="Garamond" w:eastAsia="MS Mincho" w:hAnsi="Garamond" w:cs="Times New Roman"/>
          <w:sz w:val="24"/>
          <w:szCs w:val="24"/>
          <w:lang w:eastAsia="it-IT"/>
        </w:rPr>
      </w:pPr>
    </w:p>
    <w:p w14:paraId="050D4C93"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t>4.</w:t>
      </w:r>
      <w:r w:rsidRPr="004D0CF0">
        <w:rPr>
          <w:rFonts w:ascii="Garamond" w:eastAsia="MS Mincho" w:hAnsi="Garamond" w:cs="Times New Roman"/>
          <w:b/>
          <w:bCs/>
          <w:smallCaps/>
          <w:sz w:val="24"/>
          <w:szCs w:val="24"/>
          <w:lang w:eastAsia="it-IT"/>
        </w:rPr>
        <w:tab/>
        <w:t>Organo di controllo – revisore.</w:t>
      </w:r>
    </w:p>
    <w:p w14:paraId="6A3F4C29"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959B9E8" w14:textId="78BFFBB0"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xml:space="preserve">L’organo di controllo è costituito da un revisore nominato con delibera assembleare in </w:t>
      </w:r>
      <w:r w:rsidR="00045863" w:rsidRPr="004D0CF0">
        <w:rPr>
          <w:rFonts w:ascii="Garamond" w:eastAsia="MS Mincho" w:hAnsi="Garamond" w:cs="Times New Roman"/>
          <w:sz w:val="24"/>
          <w:szCs w:val="24"/>
          <w:lang w:eastAsia="it-IT"/>
        </w:rPr>
        <w:t xml:space="preserve">data </w:t>
      </w:r>
      <w:r w:rsidR="00D506E6">
        <w:rPr>
          <w:rFonts w:ascii="Garamond" w:eastAsia="MS Mincho" w:hAnsi="Garamond" w:cs="Times New Roman"/>
          <w:sz w:val="24"/>
          <w:szCs w:val="24"/>
          <w:lang w:eastAsia="it-IT"/>
        </w:rPr>
        <w:t>07</w:t>
      </w:r>
      <w:r w:rsidR="001B3B8D">
        <w:rPr>
          <w:rFonts w:ascii="Garamond" w:eastAsia="MS Mincho" w:hAnsi="Garamond" w:cs="Times New Roman"/>
          <w:sz w:val="24"/>
          <w:szCs w:val="24"/>
          <w:lang w:eastAsia="it-IT"/>
        </w:rPr>
        <w:t>/0</w:t>
      </w:r>
      <w:r w:rsidR="00D506E6">
        <w:rPr>
          <w:rFonts w:ascii="Garamond" w:eastAsia="MS Mincho" w:hAnsi="Garamond" w:cs="Times New Roman"/>
          <w:sz w:val="24"/>
          <w:szCs w:val="24"/>
          <w:lang w:eastAsia="it-IT"/>
        </w:rPr>
        <w:t>7</w:t>
      </w:r>
      <w:r w:rsidR="001B3B8D">
        <w:rPr>
          <w:rFonts w:ascii="Garamond" w:eastAsia="MS Mincho" w:hAnsi="Garamond" w:cs="Times New Roman"/>
          <w:sz w:val="24"/>
          <w:szCs w:val="24"/>
          <w:lang w:eastAsia="it-IT"/>
        </w:rPr>
        <w:t>/</w:t>
      </w:r>
      <w:r w:rsidR="00045863">
        <w:rPr>
          <w:rFonts w:ascii="Garamond" w:eastAsia="MS Mincho" w:hAnsi="Garamond" w:cs="Times New Roman"/>
          <w:sz w:val="24"/>
          <w:szCs w:val="24"/>
          <w:lang w:eastAsia="it-IT"/>
        </w:rPr>
        <w:t>202</w:t>
      </w:r>
      <w:r w:rsidR="00D506E6">
        <w:rPr>
          <w:rFonts w:ascii="Garamond" w:eastAsia="MS Mincho" w:hAnsi="Garamond" w:cs="Times New Roman"/>
          <w:sz w:val="24"/>
          <w:szCs w:val="24"/>
          <w:lang w:eastAsia="it-IT"/>
        </w:rPr>
        <w:t>3</w:t>
      </w:r>
      <w:r w:rsidR="00045863">
        <w:rPr>
          <w:rFonts w:ascii="Garamond" w:eastAsia="MS Mincho" w:hAnsi="Garamond" w:cs="Times New Roman"/>
          <w:sz w:val="24"/>
          <w:szCs w:val="24"/>
          <w:lang w:eastAsia="it-IT"/>
        </w:rPr>
        <w:t xml:space="preserve"> e</w:t>
      </w:r>
      <w:r w:rsidRPr="004D0CF0">
        <w:rPr>
          <w:rFonts w:ascii="Garamond" w:eastAsia="MS Mincho" w:hAnsi="Garamond" w:cs="Times New Roman"/>
          <w:sz w:val="24"/>
          <w:szCs w:val="24"/>
          <w:lang w:eastAsia="it-IT"/>
        </w:rPr>
        <w:t xml:space="preserve"> rimarrà in carica sino </w:t>
      </w:r>
      <w:r w:rsidR="001B3B8D">
        <w:rPr>
          <w:rFonts w:ascii="Garamond" w:eastAsia="MS Mincho" w:hAnsi="Garamond" w:cs="Times New Roman"/>
          <w:sz w:val="24"/>
          <w:szCs w:val="24"/>
          <w:lang w:eastAsia="it-IT"/>
        </w:rPr>
        <w:t xml:space="preserve">all’approvazione del bilancio </w:t>
      </w:r>
      <w:r w:rsidR="00DD670B">
        <w:rPr>
          <w:rFonts w:ascii="Garamond" w:eastAsia="MS Mincho" w:hAnsi="Garamond" w:cs="Times New Roman"/>
          <w:sz w:val="24"/>
          <w:szCs w:val="24"/>
          <w:lang w:eastAsia="it-IT"/>
        </w:rPr>
        <w:t>31/12/202</w:t>
      </w:r>
      <w:r w:rsidR="00D506E6">
        <w:rPr>
          <w:rFonts w:ascii="Garamond" w:eastAsia="MS Mincho" w:hAnsi="Garamond" w:cs="Times New Roman"/>
          <w:sz w:val="24"/>
          <w:szCs w:val="24"/>
          <w:lang w:eastAsia="it-IT"/>
        </w:rPr>
        <w:t>5</w:t>
      </w:r>
      <w:r w:rsidRPr="004D0CF0">
        <w:rPr>
          <w:rFonts w:ascii="Garamond" w:eastAsia="MS Mincho" w:hAnsi="Garamond" w:cs="Times New Roman"/>
          <w:sz w:val="24"/>
          <w:szCs w:val="24"/>
          <w:lang w:eastAsia="it-IT"/>
        </w:rPr>
        <w:t xml:space="preserve"> </w:t>
      </w:r>
    </w:p>
    <w:p w14:paraId="223DBA2C" w14:textId="36918DD7" w:rsidR="004D0CF0" w:rsidRDefault="004D0CF0" w:rsidP="004D0CF0">
      <w:pPr>
        <w:spacing w:after="0" w:line="240" w:lineRule="auto"/>
        <w:jc w:val="both"/>
        <w:rPr>
          <w:rFonts w:ascii="Garamond" w:eastAsia="MS Mincho" w:hAnsi="Garamond" w:cs="Times New Roman"/>
          <w:sz w:val="24"/>
          <w:szCs w:val="24"/>
          <w:lang w:eastAsia="it-IT"/>
        </w:rPr>
      </w:pPr>
    </w:p>
    <w:p w14:paraId="08FB4C26" w14:textId="04EB62E0" w:rsidR="00F810B6" w:rsidRDefault="00B83021" w:rsidP="004D0CF0">
      <w:pPr>
        <w:spacing w:after="0" w:line="240" w:lineRule="auto"/>
        <w:jc w:val="both"/>
        <w:rPr>
          <w:rFonts w:ascii="Garamond" w:eastAsia="MS Mincho" w:hAnsi="Garamond" w:cs="Times New Roman"/>
          <w:sz w:val="24"/>
          <w:szCs w:val="24"/>
          <w:lang w:eastAsia="it-IT"/>
        </w:rPr>
      </w:pPr>
      <w:r>
        <w:rPr>
          <w:rFonts w:ascii="Garamond" w:eastAsia="MS Mincho" w:hAnsi="Garamond" w:cs="Times New Roman"/>
          <w:sz w:val="24"/>
          <w:szCs w:val="24"/>
          <w:lang w:eastAsia="it-IT"/>
        </w:rPr>
        <w:t>Dott. Brunetti Luciano</w:t>
      </w:r>
    </w:p>
    <w:p w14:paraId="0AC675A0"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7A9B3FAE" w14:textId="01BCD124"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 revisione è affidata a</w:t>
      </w:r>
      <w:r w:rsidR="00AE0F07">
        <w:rPr>
          <w:rFonts w:ascii="Garamond" w:eastAsia="MS Mincho" w:hAnsi="Garamond" w:cs="Times New Roman"/>
          <w:sz w:val="24"/>
          <w:szCs w:val="24"/>
          <w:lang w:eastAsia="it-IT"/>
        </w:rPr>
        <w:t>l</w:t>
      </w:r>
      <w:r w:rsidRPr="004D0CF0">
        <w:rPr>
          <w:rFonts w:ascii="Garamond" w:eastAsia="MS Mincho" w:hAnsi="Garamond" w:cs="Times New Roman"/>
          <w:sz w:val="24"/>
          <w:szCs w:val="24"/>
          <w:lang w:eastAsia="it-IT"/>
        </w:rPr>
        <w:t xml:space="preserve"> </w:t>
      </w:r>
      <w:r w:rsidR="00B83021">
        <w:rPr>
          <w:rFonts w:ascii="Garamond" w:eastAsia="MS Mincho" w:hAnsi="Garamond" w:cs="Times New Roman"/>
          <w:sz w:val="24"/>
          <w:szCs w:val="24"/>
          <w:lang w:eastAsia="it-IT"/>
        </w:rPr>
        <w:t>Dott. Brunetti Luciano</w:t>
      </w:r>
    </w:p>
    <w:p w14:paraId="30E6FE22"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28B02503" w14:textId="35895B70" w:rsidR="004D0CF0" w:rsidRDefault="004D0CF0" w:rsidP="004D0CF0">
      <w:pPr>
        <w:spacing w:after="0" w:line="240" w:lineRule="auto"/>
        <w:jc w:val="both"/>
        <w:rPr>
          <w:rFonts w:ascii="Garamond" w:eastAsia="MS Mincho" w:hAnsi="Garamond" w:cs="Times New Roman"/>
          <w:sz w:val="24"/>
          <w:szCs w:val="24"/>
          <w:lang w:eastAsia="it-IT"/>
        </w:rPr>
      </w:pPr>
    </w:p>
    <w:p w14:paraId="7185B319" w14:textId="77777777" w:rsidR="00C3468F" w:rsidRPr="004D0CF0" w:rsidRDefault="00C3468F" w:rsidP="004D0CF0">
      <w:pPr>
        <w:spacing w:after="0" w:line="240" w:lineRule="auto"/>
        <w:jc w:val="both"/>
        <w:rPr>
          <w:rFonts w:ascii="Garamond" w:eastAsia="MS Mincho" w:hAnsi="Garamond" w:cs="Times New Roman"/>
          <w:sz w:val="24"/>
          <w:szCs w:val="24"/>
          <w:lang w:eastAsia="it-IT"/>
        </w:rPr>
      </w:pPr>
    </w:p>
    <w:p w14:paraId="0888A295" w14:textId="77777777"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t>5.</w:t>
      </w:r>
      <w:r w:rsidRPr="004D0CF0">
        <w:rPr>
          <w:rFonts w:ascii="Garamond" w:eastAsia="MS Mincho" w:hAnsi="Garamond" w:cs="Times New Roman"/>
          <w:b/>
          <w:bCs/>
          <w:smallCaps/>
          <w:sz w:val="24"/>
          <w:szCs w:val="24"/>
          <w:lang w:eastAsia="it-IT"/>
        </w:rPr>
        <w:tab/>
        <w:t>Il personale.</w:t>
      </w:r>
    </w:p>
    <w:p w14:paraId="7CD1F455"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D9768A7" w14:textId="25C3A0C0" w:rsid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 situazione del personale occupato alla data del 31/12/</w:t>
      </w:r>
      <w:r w:rsidR="00DC666C">
        <w:rPr>
          <w:rFonts w:ascii="Garamond" w:eastAsia="MS Mincho" w:hAnsi="Garamond" w:cs="Times New Roman"/>
          <w:sz w:val="24"/>
          <w:szCs w:val="24"/>
          <w:lang w:eastAsia="it-IT"/>
        </w:rPr>
        <w:t>20</w:t>
      </w:r>
      <w:r w:rsidR="004D2B95">
        <w:rPr>
          <w:rFonts w:ascii="Garamond" w:eastAsia="MS Mincho" w:hAnsi="Garamond" w:cs="Times New Roman"/>
          <w:sz w:val="24"/>
          <w:szCs w:val="24"/>
          <w:lang w:eastAsia="it-IT"/>
        </w:rPr>
        <w:t>2</w:t>
      </w:r>
      <w:r w:rsidR="00C00B30">
        <w:rPr>
          <w:rFonts w:ascii="Garamond" w:eastAsia="MS Mincho" w:hAnsi="Garamond" w:cs="Times New Roman"/>
          <w:sz w:val="24"/>
          <w:szCs w:val="24"/>
          <w:lang w:eastAsia="it-IT"/>
        </w:rPr>
        <w:t>4</w:t>
      </w:r>
      <w:r w:rsidR="005B749C">
        <w:rPr>
          <w:rFonts w:ascii="Garamond" w:eastAsia="MS Mincho" w:hAnsi="Garamond" w:cs="Times New Roman"/>
          <w:sz w:val="24"/>
          <w:szCs w:val="24"/>
          <w:lang w:eastAsia="it-IT"/>
        </w:rPr>
        <w:t xml:space="preserve"> </w:t>
      </w:r>
      <w:r w:rsidRPr="004D0CF0">
        <w:rPr>
          <w:rFonts w:ascii="Garamond" w:eastAsia="MS Mincho" w:hAnsi="Garamond" w:cs="Times New Roman"/>
          <w:sz w:val="24"/>
          <w:szCs w:val="24"/>
          <w:lang w:eastAsia="it-IT"/>
        </w:rPr>
        <w:t>è la seguente:</w:t>
      </w:r>
    </w:p>
    <w:p w14:paraId="4456DD4B" w14:textId="162E083A" w:rsidR="00DC666C" w:rsidRPr="00DC666C" w:rsidRDefault="00DC666C" w:rsidP="00DC666C">
      <w:pPr>
        <w:pStyle w:val="Paragrafoelenco"/>
        <w:numPr>
          <w:ilvl w:val="0"/>
          <w:numId w:val="14"/>
        </w:numPr>
        <w:spacing w:after="0" w:line="240" w:lineRule="auto"/>
        <w:jc w:val="both"/>
        <w:rPr>
          <w:rFonts w:ascii="Garamond" w:eastAsia="MS Mincho" w:hAnsi="Garamond" w:cs="Times New Roman"/>
          <w:sz w:val="24"/>
          <w:szCs w:val="24"/>
          <w:lang w:eastAsia="it-IT"/>
        </w:rPr>
      </w:pPr>
      <w:r w:rsidRPr="00DC666C">
        <w:rPr>
          <w:rFonts w:ascii="Garamond" w:eastAsia="MS Mincho" w:hAnsi="Garamond" w:cs="Times New Roman"/>
          <w:sz w:val="24"/>
          <w:szCs w:val="24"/>
          <w:lang w:eastAsia="it-IT"/>
        </w:rPr>
        <w:t>Al 31 dicembre 20</w:t>
      </w:r>
      <w:r w:rsidR="004D2B95">
        <w:rPr>
          <w:rFonts w:ascii="Garamond" w:eastAsia="MS Mincho" w:hAnsi="Garamond" w:cs="Times New Roman"/>
          <w:sz w:val="24"/>
          <w:szCs w:val="24"/>
          <w:lang w:eastAsia="it-IT"/>
        </w:rPr>
        <w:t>2</w:t>
      </w:r>
      <w:r w:rsidR="00C00B30">
        <w:rPr>
          <w:rFonts w:ascii="Garamond" w:eastAsia="MS Mincho" w:hAnsi="Garamond" w:cs="Times New Roman"/>
          <w:sz w:val="24"/>
          <w:szCs w:val="24"/>
          <w:lang w:eastAsia="it-IT"/>
        </w:rPr>
        <w:t>4</w:t>
      </w:r>
      <w:r w:rsidRPr="00DC666C">
        <w:rPr>
          <w:rFonts w:ascii="Garamond" w:eastAsia="MS Mincho" w:hAnsi="Garamond" w:cs="Times New Roman"/>
          <w:sz w:val="24"/>
          <w:szCs w:val="24"/>
          <w:lang w:eastAsia="it-IT"/>
        </w:rPr>
        <w:t xml:space="preserve"> risultano n. 1</w:t>
      </w:r>
      <w:r w:rsidR="00482B56">
        <w:rPr>
          <w:rFonts w:ascii="Garamond" w:eastAsia="MS Mincho" w:hAnsi="Garamond" w:cs="Times New Roman"/>
          <w:sz w:val="24"/>
          <w:szCs w:val="24"/>
          <w:lang w:eastAsia="it-IT"/>
        </w:rPr>
        <w:t>3</w:t>
      </w:r>
      <w:r w:rsidRPr="00DC666C">
        <w:rPr>
          <w:rFonts w:ascii="Garamond" w:eastAsia="MS Mincho" w:hAnsi="Garamond" w:cs="Times New Roman"/>
          <w:sz w:val="24"/>
          <w:szCs w:val="24"/>
          <w:lang w:eastAsia="it-IT"/>
        </w:rPr>
        <w:t xml:space="preserve"> dipendenti.</w:t>
      </w:r>
    </w:p>
    <w:p w14:paraId="42CE65FC" w14:textId="77777777" w:rsidR="00DC666C" w:rsidRPr="00DC666C" w:rsidRDefault="00DC666C" w:rsidP="00DC666C">
      <w:pPr>
        <w:pStyle w:val="Paragrafoelenco"/>
        <w:numPr>
          <w:ilvl w:val="0"/>
          <w:numId w:val="14"/>
        </w:numPr>
        <w:spacing w:after="0" w:line="240" w:lineRule="auto"/>
        <w:jc w:val="both"/>
        <w:rPr>
          <w:rFonts w:ascii="Garamond" w:eastAsia="MS Mincho" w:hAnsi="Garamond" w:cs="Times New Roman"/>
          <w:sz w:val="24"/>
          <w:szCs w:val="24"/>
          <w:lang w:eastAsia="it-IT"/>
        </w:rPr>
      </w:pPr>
      <w:r w:rsidRPr="00DC666C">
        <w:rPr>
          <w:rFonts w:ascii="Garamond" w:eastAsia="MS Mincho" w:hAnsi="Garamond" w:cs="Times New Roman"/>
          <w:sz w:val="24"/>
          <w:szCs w:val="24"/>
          <w:lang w:eastAsia="it-IT"/>
        </w:rPr>
        <w:t xml:space="preserve">Nel seguente prospetto è indicato il numero medio dei dipendenti, ripartito per categoria e calcolato considerando la media giornaliera. </w:t>
      </w:r>
    </w:p>
    <w:p w14:paraId="786E8E52" w14:textId="77777777" w:rsidR="00DC666C" w:rsidRPr="004D0CF0" w:rsidRDefault="00DC666C" w:rsidP="004D0CF0">
      <w:pPr>
        <w:spacing w:after="0" w:line="240" w:lineRule="auto"/>
        <w:jc w:val="both"/>
        <w:rPr>
          <w:rFonts w:ascii="Garamond" w:eastAsia="MS Mincho" w:hAnsi="Garamond" w:cs="Times New Roman"/>
          <w:sz w:val="24"/>
          <w:szCs w:val="24"/>
          <w:lang w:eastAsia="it-IT"/>
        </w:rPr>
      </w:pPr>
    </w:p>
    <w:tbl>
      <w:tblPr>
        <w:tblW w:w="4610" w:type="pct"/>
        <w:tblInd w:w="709" w:type="dxa"/>
        <w:tblBorders>
          <w:top w:val="single" w:sz="12" w:space="0" w:color="000000"/>
          <w:left w:val="nil"/>
          <w:bottom w:val="single" w:sz="12" w:space="0" w:color="000000"/>
          <w:right w:val="nil"/>
          <w:insideH w:val="nil"/>
          <w:insideV w:val="nil"/>
        </w:tblBorders>
        <w:shd w:val="clear" w:color="auto" w:fill="FFFFFF"/>
        <w:tblCellMar>
          <w:top w:w="40" w:type="dxa"/>
          <w:left w:w="40" w:type="dxa"/>
          <w:bottom w:w="40" w:type="dxa"/>
          <w:right w:w="40" w:type="dxa"/>
        </w:tblCellMar>
        <w:tblLook w:val="00A0" w:firstRow="1" w:lastRow="0" w:firstColumn="1" w:lastColumn="0" w:noHBand="0" w:noVBand="0"/>
      </w:tblPr>
      <w:tblGrid>
        <w:gridCol w:w="2267"/>
        <w:gridCol w:w="2267"/>
        <w:gridCol w:w="2268"/>
        <w:gridCol w:w="1561"/>
      </w:tblGrid>
      <w:tr w:rsidR="00DC666C" w:rsidRPr="0072148F" w14:paraId="26FCD156" w14:textId="77777777" w:rsidTr="00DC666C">
        <w:trPr>
          <w:tblHeader/>
        </w:trPr>
        <w:tc>
          <w:tcPr>
            <w:tcW w:w="1355" w:type="pct"/>
            <w:tcBorders>
              <w:top w:val="single" w:sz="12" w:space="0" w:color="000000"/>
              <w:bottom w:val="single" w:sz="12" w:space="0" w:color="000000"/>
            </w:tcBorders>
            <w:shd w:val="clear" w:color="auto" w:fill="D1D1D1"/>
            <w:vAlign w:val="center"/>
          </w:tcPr>
          <w:p w14:paraId="3376C548" w14:textId="77777777" w:rsidR="00DC666C" w:rsidRPr="0072148F" w:rsidRDefault="00DC666C" w:rsidP="001B3870">
            <w:pPr>
              <w:pStyle w:val="Tabella"/>
              <w:jc w:val="center"/>
              <w:rPr>
                <w:b/>
              </w:rPr>
            </w:pPr>
          </w:p>
        </w:tc>
        <w:tc>
          <w:tcPr>
            <w:tcW w:w="1355" w:type="pct"/>
            <w:tcBorders>
              <w:top w:val="single" w:sz="12" w:space="0" w:color="000000"/>
              <w:bottom w:val="single" w:sz="12" w:space="0" w:color="000000"/>
            </w:tcBorders>
            <w:shd w:val="clear" w:color="auto" w:fill="D1D1D1"/>
            <w:vAlign w:val="center"/>
          </w:tcPr>
          <w:p w14:paraId="6E7B251C" w14:textId="77777777" w:rsidR="00DC666C" w:rsidRPr="0072148F" w:rsidRDefault="00DC666C" w:rsidP="001B3870">
            <w:pPr>
              <w:pStyle w:val="Tabella"/>
              <w:jc w:val="center"/>
              <w:rPr>
                <w:b/>
              </w:rPr>
            </w:pPr>
            <w:r w:rsidRPr="0072148F">
              <w:rPr>
                <w:b/>
              </w:rPr>
              <w:t>Impiegati</w:t>
            </w:r>
          </w:p>
        </w:tc>
        <w:tc>
          <w:tcPr>
            <w:tcW w:w="1356" w:type="pct"/>
            <w:tcBorders>
              <w:top w:val="single" w:sz="12" w:space="0" w:color="000000"/>
              <w:bottom w:val="single" w:sz="12" w:space="0" w:color="000000"/>
            </w:tcBorders>
            <w:shd w:val="clear" w:color="auto" w:fill="D1D1D1"/>
            <w:vAlign w:val="center"/>
          </w:tcPr>
          <w:p w14:paraId="054B87BB" w14:textId="77777777" w:rsidR="00DC666C" w:rsidRPr="0072148F" w:rsidRDefault="00DC666C" w:rsidP="001B3870">
            <w:pPr>
              <w:pStyle w:val="Tabella"/>
              <w:jc w:val="center"/>
              <w:rPr>
                <w:b/>
              </w:rPr>
            </w:pPr>
            <w:r w:rsidRPr="0072148F">
              <w:rPr>
                <w:b/>
              </w:rPr>
              <w:t>Operai</w:t>
            </w:r>
          </w:p>
        </w:tc>
        <w:tc>
          <w:tcPr>
            <w:tcW w:w="933" w:type="pct"/>
            <w:tcBorders>
              <w:top w:val="single" w:sz="12" w:space="0" w:color="000000"/>
              <w:bottom w:val="single" w:sz="12" w:space="0" w:color="000000"/>
            </w:tcBorders>
            <w:shd w:val="clear" w:color="auto" w:fill="D1D1D1"/>
            <w:vAlign w:val="center"/>
          </w:tcPr>
          <w:p w14:paraId="3DA2BB6B" w14:textId="77777777" w:rsidR="00DC666C" w:rsidRPr="0072148F" w:rsidRDefault="00DC666C" w:rsidP="001B3870">
            <w:pPr>
              <w:pStyle w:val="Tabella"/>
              <w:jc w:val="center"/>
              <w:rPr>
                <w:b/>
              </w:rPr>
            </w:pPr>
            <w:r w:rsidRPr="0072148F">
              <w:rPr>
                <w:b/>
              </w:rPr>
              <w:t>Totale dipendenti</w:t>
            </w:r>
          </w:p>
        </w:tc>
      </w:tr>
      <w:tr w:rsidR="00DC666C" w:rsidRPr="0072148F" w14:paraId="752353E8" w14:textId="77777777" w:rsidTr="00DC666C">
        <w:tc>
          <w:tcPr>
            <w:tcW w:w="1355" w:type="pct"/>
            <w:tcBorders>
              <w:top w:val="single" w:sz="12" w:space="0" w:color="000000"/>
              <w:bottom w:val="single" w:sz="12" w:space="0" w:color="000000"/>
            </w:tcBorders>
            <w:shd w:val="clear" w:color="auto" w:fill="FFFFFF"/>
            <w:vAlign w:val="center"/>
          </w:tcPr>
          <w:p w14:paraId="4BF7A56F" w14:textId="77777777" w:rsidR="00DC666C" w:rsidRPr="0072148F" w:rsidRDefault="00DC666C" w:rsidP="001B3870">
            <w:pPr>
              <w:pStyle w:val="Tabella"/>
              <w:jc w:val="left"/>
            </w:pPr>
            <w:r w:rsidRPr="0072148F">
              <w:t>Numero medio</w:t>
            </w:r>
          </w:p>
        </w:tc>
        <w:tc>
          <w:tcPr>
            <w:tcW w:w="1355" w:type="pct"/>
            <w:tcBorders>
              <w:top w:val="single" w:sz="12" w:space="0" w:color="000000"/>
              <w:bottom w:val="single" w:sz="12" w:space="0" w:color="000000"/>
            </w:tcBorders>
            <w:shd w:val="clear" w:color="auto" w:fill="FFFFFF"/>
            <w:vAlign w:val="center"/>
          </w:tcPr>
          <w:p w14:paraId="76928151" w14:textId="7D5B2210" w:rsidR="00DC666C" w:rsidRPr="0072148F" w:rsidRDefault="00C00B30" w:rsidP="00482B56">
            <w:pPr>
              <w:pStyle w:val="Tabella"/>
              <w:jc w:val="right"/>
            </w:pPr>
            <w:r>
              <w:t>9</w:t>
            </w:r>
          </w:p>
        </w:tc>
        <w:tc>
          <w:tcPr>
            <w:tcW w:w="1356" w:type="pct"/>
            <w:tcBorders>
              <w:top w:val="single" w:sz="12" w:space="0" w:color="000000"/>
              <w:bottom w:val="single" w:sz="12" w:space="0" w:color="000000"/>
            </w:tcBorders>
            <w:shd w:val="clear" w:color="auto" w:fill="FFFFFF"/>
            <w:vAlign w:val="center"/>
          </w:tcPr>
          <w:p w14:paraId="6D77F323" w14:textId="493DC48C" w:rsidR="00DC666C" w:rsidRPr="0072148F" w:rsidRDefault="00C00B30" w:rsidP="001B3870">
            <w:pPr>
              <w:pStyle w:val="Tabella"/>
              <w:jc w:val="right"/>
            </w:pPr>
            <w:r>
              <w:t>4</w:t>
            </w:r>
          </w:p>
        </w:tc>
        <w:tc>
          <w:tcPr>
            <w:tcW w:w="933" w:type="pct"/>
            <w:tcBorders>
              <w:top w:val="single" w:sz="12" w:space="0" w:color="000000"/>
              <w:bottom w:val="single" w:sz="12" w:space="0" w:color="000000"/>
            </w:tcBorders>
            <w:shd w:val="clear" w:color="auto" w:fill="FFFFFF"/>
            <w:vAlign w:val="center"/>
          </w:tcPr>
          <w:p w14:paraId="2DB78984" w14:textId="75B30CEC" w:rsidR="00DC666C" w:rsidRPr="0072148F" w:rsidRDefault="00DC666C" w:rsidP="00482B56">
            <w:pPr>
              <w:pStyle w:val="Tabella"/>
              <w:jc w:val="right"/>
            </w:pPr>
            <w:r w:rsidRPr="0072148F">
              <w:t>1</w:t>
            </w:r>
            <w:r w:rsidR="00482B56">
              <w:t>3</w:t>
            </w:r>
          </w:p>
        </w:tc>
      </w:tr>
    </w:tbl>
    <w:p w14:paraId="7B652D7D" w14:textId="0CA8E4F7" w:rsidR="004D0CF0" w:rsidRDefault="004D0CF0" w:rsidP="004D0CF0">
      <w:pPr>
        <w:spacing w:after="0" w:line="240" w:lineRule="auto"/>
        <w:jc w:val="both"/>
        <w:rPr>
          <w:rFonts w:ascii="Garamond" w:eastAsia="MS Mincho" w:hAnsi="Garamond" w:cs="Times New Roman"/>
          <w:sz w:val="24"/>
          <w:szCs w:val="24"/>
          <w:lang w:eastAsia="it-IT"/>
        </w:rPr>
      </w:pPr>
    </w:p>
    <w:p w14:paraId="4F6AA6FF" w14:textId="1793C73A" w:rsidR="004D0CF0" w:rsidRPr="004D0CF0" w:rsidRDefault="004D0CF0" w:rsidP="004D0CF0">
      <w:pPr>
        <w:spacing w:after="0" w:line="240" w:lineRule="auto"/>
        <w:jc w:val="both"/>
        <w:rPr>
          <w:rFonts w:ascii="Garamond" w:eastAsia="MS Mincho" w:hAnsi="Garamond" w:cs="Times New Roman"/>
          <w:sz w:val="24"/>
          <w:szCs w:val="24"/>
          <w:lang w:eastAsia="it-IT"/>
        </w:rPr>
      </w:pPr>
    </w:p>
    <w:p w14:paraId="499562F9" w14:textId="54671DD3" w:rsidR="004D0CF0" w:rsidRPr="004D0CF0" w:rsidRDefault="004D0CF0" w:rsidP="004D0CF0">
      <w:pPr>
        <w:spacing w:after="0" w:line="240" w:lineRule="auto"/>
        <w:jc w:val="both"/>
        <w:rPr>
          <w:rFonts w:ascii="Garamond" w:eastAsia="MS Mincho" w:hAnsi="Garamond" w:cs="Arial"/>
          <w:smallCaps/>
          <w:sz w:val="24"/>
          <w:szCs w:val="24"/>
          <w:lang w:eastAsia="it-IT"/>
        </w:rPr>
      </w:pPr>
      <w:r w:rsidRPr="004D0CF0">
        <w:rPr>
          <w:rFonts w:ascii="Garamond" w:eastAsia="MS Mincho" w:hAnsi="Garamond" w:cs="Times New Roman"/>
          <w:b/>
          <w:smallCaps/>
          <w:sz w:val="24"/>
          <w:szCs w:val="24"/>
          <w:lang w:eastAsia="it-IT"/>
        </w:rPr>
        <w:t>6.</w:t>
      </w:r>
      <w:r w:rsidRPr="004D0CF0">
        <w:rPr>
          <w:rFonts w:ascii="Garamond" w:eastAsia="MS Mincho" w:hAnsi="Garamond" w:cs="Times New Roman"/>
          <w:b/>
          <w:smallCaps/>
          <w:sz w:val="24"/>
          <w:szCs w:val="24"/>
          <w:lang w:eastAsia="it-IT"/>
        </w:rPr>
        <w:tab/>
        <w:t>Valutazione del rischio di crisi aziendale al 31/12/</w:t>
      </w:r>
      <w:r w:rsidR="008D3193">
        <w:rPr>
          <w:rFonts w:ascii="Garamond" w:eastAsia="MS Mincho" w:hAnsi="Garamond" w:cs="Times New Roman"/>
          <w:b/>
          <w:smallCaps/>
          <w:sz w:val="24"/>
          <w:szCs w:val="24"/>
          <w:lang w:eastAsia="it-IT"/>
        </w:rPr>
        <w:t>20</w:t>
      </w:r>
      <w:r w:rsidR="004D2B95">
        <w:rPr>
          <w:rFonts w:ascii="Garamond" w:eastAsia="MS Mincho" w:hAnsi="Garamond" w:cs="Times New Roman"/>
          <w:b/>
          <w:smallCaps/>
          <w:sz w:val="24"/>
          <w:szCs w:val="24"/>
          <w:lang w:eastAsia="it-IT"/>
        </w:rPr>
        <w:t>2</w:t>
      </w:r>
      <w:r w:rsidR="00C00B30">
        <w:rPr>
          <w:rFonts w:ascii="Garamond" w:eastAsia="MS Mincho" w:hAnsi="Garamond" w:cs="Times New Roman"/>
          <w:b/>
          <w:smallCaps/>
          <w:sz w:val="24"/>
          <w:szCs w:val="24"/>
          <w:lang w:eastAsia="it-IT"/>
        </w:rPr>
        <w:t>4</w:t>
      </w:r>
      <w:r w:rsidRPr="004D0CF0">
        <w:rPr>
          <w:rFonts w:ascii="Garamond" w:eastAsia="MS Mincho" w:hAnsi="Garamond" w:cs="Times New Roman"/>
          <w:smallCaps/>
          <w:sz w:val="24"/>
          <w:szCs w:val="24"/>
          <w:lang w:eastAsia="it-IT"/>
        </w:rPr>
        <w:t>.</w:t>
      </w:r>
    </w:p>
    <w:p w14:paraId="0302B83D"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1A629E1B"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 Società ha condotto la misurazione del rischio di crisi aziendale utilizzando gli strumenti di valutazione indicati al § 2 del Programma elaborato ai sensi dell’art. 6, co. 2, d.lgs. 175/2016 e verificando l’eventuale sussistenza di profili di rischio di crisi aziendale in base al Programma medesimo, secondo quanto di seguito indicato.</w:t>
      </w:r>
    </w:p>
    <w:p w14:paraId="54583026" w14:textId="77777777" w:rsidR="004D0CF0" w:rsidRPr="004D0CF0" w:rsidRDefault="004D0CF0" w:rsidP="004D0CF0">
      <w:pPr>
        <w:spacing w:after="0" w:line="240" w:lineRule="auto"/>
        <w:rPr>
          <w:rFonts w:ascii="Garamond" w:eastAsia="MS Mincho" w:hAnsi="Garamond" w:cs="Times New Roman"/>
          <w:sz w:val="24"/>
          <w:szCs w:val="24"/>
          <w:lang w:eastAsia="it-IT"/>
        </w:rPr>
      </w:pPr>
    </w:p>
    <w:p w14:paraId="3860F6D4" w14:textId="77777777" w:rsidR="004B04A5" w:rsidRDefault="004B04A5" w:rsidP="004D0CF0">
      <w:pPr>
        <w:spacing w:after="0" w:line="240" w:lineRule="auto"/>
        <w:jc w:val="both"/>
        <w:rPr>
          <w:rFonts w:ascii="Garamond" w:eastAsia="MS Mincho" w:hAnsi="Garamond" w:cs="Times New Roman"/>
          <w:b/>
          <w:bCs/>
          <w:smallCaps/>
          <w:sz w:val="24"/>
          <w:szCs w:val="24"/>
          <w:lang w:eastAsia="it-IT"/>
        </w:rPr>
      </w:pPr>
      <w:r>
        <w:rPr>
          <w:rFonts w:ascii="Garamond" w:eastAsia="MS Mincho" w:hAnsi="Garamond" w:cs="Times New Roman"/>
          <w:b/>
          <w:bCs/>
          <w:smallCaps/>
          <w:sz w:val="24"/>
          <w:szCs w:val="24"/>
          <w:lang w:eastAsia="it-IT"/>
        </w:rPr>
        <w:br w:type="page"/>
      </w:r>
    </w:p>
    <w:p w14:paraId="563C1771" w14:textId="39D4EBA5" w:rsidR="004D0CF0" w:rsidRPr="004D0CF0" w:rsidRDefault="004D0CF0" w:rsidP="004D0CF0">
      <w:pPr>
        <w:spacing w:after="0" w:line="240" w:lineRule="auto"/>
        <w:jc w:val="both"/>
        <w:rPr>
          <w:rFonts w:ascii="Garamond" w:eastAsia="MS Mincho" w:hAnsi="Garamond" w:cs="Times New Roman"/>
          <w:b/>
          <w:bCs/>
          <w:smallCaps/>
          <w:sz w:val="24"/>
          <w:szCs w:val="24"/>
          <w:lang w:eastAsia="it-IT"/>
        </w:rPr>
      </w:pPr>
      <w:r w:rsidRPr="004D0CF0">
        <w:rPr>
          <w:rFonts w:ascii="Garamond" w:eastAsia="MS Mincho" w:hAnsi="Garamond" w:cs="Times New Roman"/>
          <w:b/>
          <w:bCs/>
          <w:smallCaps/>
          <w:sz w:val="24"/>
          <w:szCs w:val="24"/>
          <w:lang w:eastAsia="it-IT"/>
        </w:rPr>
        <w:lastRenderedPageBreak/>
        <w:t>6.1.</w:t>
      </w:r>
      <w:r w:rsidRPr="004D0CF0">
        <w:rPr>
          <w:rFonts w:ascii="Garamond" w:eastAsia="MS Mincho" w:hAnsi="Garamond" w:cs="Times New Roman"/>
          <w:b/>
          <w:bCs/>
          <w:smallCaps/>
          <w:sz w:val="24"/>
          <w:szCs w:val="24"/>
          <w:lang w:eastAsia="it-IT"/>
        </w:rPr>
        <w:tab/>
        <w:t>Analisi di bilancio</w:t>
      </w:r>
    </w:p>
    <w:p w14:paraId="5A5C2AA2" w14:textId="77777777" w:rsidR="004D0CF0" w:rsidRPr="004D0CF0" w:rsidRDefault="004D0CF0" w:rsidP="004D0CF0">
      <w:pPr>
        <w:spacing w:after="0" w:line="240" w:lineRule="auto"/>
        <w:jc w:val="both"/>
        <w:rPr>
          <w:rFonts w:ascii="Garamond" w:eastAsia="MS Mincho" w:hAnsi="Garamond" w:cs="Times New Roman"/>
          <w:b/>
          <w:sz w:val="24"/>
          <w:szCs w:val="24"/>
          <w:lang w:eastAsia="it-IT"/>
        </w:rPr>
      </w:pPr>
    </w:p>
    <w:p w14:paraId="1CDC67DD"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L’analisi di bilancio si è articolata nelle seguenti fasi:</w:t>
      </w:r>
    </w:p>
    <w:p w14:paraId="4E89490C"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p>
    <w:p w14:paraId="03C4414E"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raccolta delle informazioni ricavabili dai bilanci, dalle analisi di settore e da ogni altra fonte significativa;</w:t>
      </w:r>
    </w:p>
    <w:p w14:paraId="1B0A0F0D"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riclassificazione dello stato patrimoniale e del conto economico;</w:t>
      </w:r>
    </w:p>
    <w:p w14:paraId="6BF024A9"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elaborazione di strumenti per la valutazione dei margini, degli indici, dei flussi;</w:t>
      </w:r>
    </w:p>
    <w:p w14:paraId="76BB5769" w14:textId="77777777" w:rsidR="004D0CF0" w:rsidRP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comparazione dei dati relativi all’esercizio corrente e ai tre precedenti;</w:t>
      </w:r>
    </w:p>
    <w:p w14:paraId="0C154644" w14:textId="77777777" w:rsidR="004D0CF0" w:rsidRDefault="004D0CF0" w:rsidP="004D0CF0">
      <w:pPr>
        <w:spacing w:after="0" w:line="240" w:lineRule="auto"/>
        <w:jc w:val="both"/>
        <w:rPr>
          <w:rFonts w:ascii="Garamond" w:eastAsia="MS Mincho" w:hAnsi="Garamond" w:cs="Times New Roman"/>
          <w:sz w:val="24"/>
          <w:szCs w:val="24"/>
          <w:lang w:eastAsia="it-IT"/>
        </w:rPr>
      </w:pPr>
      <w:r w:rsidRPr="004D0CF0">
        <w:rPr>
          <w:rFonts w:ascii="Garamond" w:eastAsia="MS Mincho" w:hAnsi="Garamond" w:cs="Times New Roman"/>
          <w:sz w:val="24"/>
          <w:szCs w:val="24"/>
          <w:lang w:eastAsia="it-IT"/>
        </w:rPr>
        <w:t>- formulazione di un giudizio sui risultati ottenuti.</w:t>
      </w:r>
    </w:p>
    <w:p w14:paraId="15292EAC" w14:textId="77777777" w:rsidR="004B04A5" w:rsidRDefault="004B04A5" w:rsidP="004D0CF0">
      <w:pPr>
        <w:spacing w:after="0" w:line="240" w:lineRule="auto"/>
        <w:jc w:val="both"/>
        <w:rPr>
          <w:rFonts w:ascii="Garamond" w:eastAsia="MS Mincho" w:hAnsi="Garamond" w:cs="Times New Roman"/>
          <w:sz w:val="24"/>
          <w:szCs w:val="24"/>
          <w:lang w:eastAsia="it-IT"/>
        </w:rPr>
      </w:pPr>
    </w:p>
    <w:p w14:paraId="5700F1DD" w14:textId="77777777" w:rsidR="00FD4844" w:rsidRPr="004D0CF0" w:rsidRDefault="00FD4844" w:rsidP="004D0CF0">
      <w:pPr>
        <w:spacing w:after="0" w:line="240" w:lineRule="auto"/>
        <w:jc w:val="both"/>
        <w:rPr>
          <w:rFonts w:ascii="Garamond" w:eastAsia="MS Mincho" w:hAnsi="Garamond" w:cs="Times New Roman"/>
          <w:sz w:val="24"/>
          <w:szCs w:val="24"/>
          <w:lang w:eastAsia="it-IT"/>
        </w:rPr>
      </w:pPr>
    </w:p>
    <w:tbl>
      <w:tblPr>
        <w:tblW w:w="8073" w:type="dxa"/>
        <w:jc w:val="center"/>
        <w:tblCellMar>
          <w:left w:w="70" w:type="dxa"/>
          <w:right w:w="70" w:type="dxa"/>
        </w:tblCellMar>
        <w:tblLook w:val="04A0" w:firstRow="1" w:lastRow="0" w:firstColumn="1" w:lastColumn="0" w:noHBand="0" w:noVBand="1"/>
      </w:tblPr>
      <w:tblGrid>
        <w:gridCol w:w="2828"/>
        <w:gridCol w:w="1275"/>
        <w:gridCol w:w="1277"/>
        <w:gridCol w:w="1275"/>
        <w:gridCol w:w="1418"/>
      </w:tblGrid>
      <w:tr w:rsidR="00763A0B" w:rsidRPr="004D0CF0" w14:paraId="7BBE5F50" w14:textId="77777777" w:rsidTr="00275C2B">
        <w:trPr>
          <w:trHeight w:val="276"/>
          <w:jc w:val="center"/>
        </w:trPr>
        <w:tc>
          <w:tcPr>
            <w:tcW w:w="28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085C2" w14:textId="77777777" w:rsidR="00763A0B" w:rsidRPr="004D0CF0" w:rsidRDefault="00763A0B" w:rsidP="00275C2B">
            <w:pPr>
              <w:spacing w:after="0" w:line="240" w:lineRule="auto"/>
              <w:rPr>
                <w:rFonts w:ascii="Arial" w:eastAsia="Times New Roman" w:hAnsi="Arial" w:cs="Arial"/>
                <w:b/>
                <w:bCs/>
                <w:color w:val="000000"/>
                <w:sz w:val="20"/>
                <w:szCs w:val="20"/>
                <w:lang w:eastAsia="it-IT"/>
              </w:rPr>
            </w:pP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B825F0" w14:textId="77777777" w:rsidR="00763A0B" w:rsidRDefault="00763A0B" w:rsidP="00275C2B">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corrente </w:t>
            </w:r>
          </w:p>
          <w:p w14:paraId="6F9451F2" w14:textId="334906F4" w:rsidR="00763A0B" w:rsidRPr="004D0CF0" w:rsidRDefault="00763A0B" w:rsidP="00C00B30">
            <w:pPr>
              <w:spacing w:after="0" w:line="240" w:lineRule="auto"/>
              <w:jc w:val="center"/>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202</w:t>
            </w:r>
            <w:r w:rsidR="00C00B30">
              <w:rPr>
                <w:rFonts w:ascii="Arial" w:eastAsia="Times New Roman" w:hAnsi="Arial" w:cs="Arial"/>
                <w:b/>
                <w:bCs/>
                <w:color w:val="000000"/>
                <w:sz w:val="20"/>
                <w:szCs w:val="20"/>
                <w:lang w:eastAsia="it-IT"/>
              </w:rPr>
              <w:t>4</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14:paraId="2818ACC6" w14:textId="201C466B" w:rsidR="00763A0B" w:rsidRPr="004D0CF0" w:rsidRDefault="00763A0B" w:rsidP="00C00B30">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w:t>
            </w:r>
            <w:r>
              <w:rPr>
                <w:rFonts w:ascii="Arial" w:eastAsia="Times New Roman" w:hAnsi="Arial" w:cs="Arial"/>
                <w:b/>
                <w:bCs/>
                <w:color w:val="000000"/>
                <w:sz w:val="20"/>
                <w:szCs w:val="20"/>
                <w:lang w:eastAsia="it-IT"/>
              </w:rPr>
              <w:t>202</w:t>
            </w:r>
            <w:r w:rsidR="00C00B30">
              <w:rPr>
                <w:rFonts w:ascii="Arial" w:eastAsia="Times New Roman" w:hAnsi="Arial" w:cs="Arial"/>
                <w:b/>
                <w:bCs/>
                <w:color w:val="000000"/>
                <w:sz w:val="20"/>
                <w:szCs w:val="20"/>
                <w:lang w:eastAsia="it-IT"/>
              </w:rPr>
              <w:t>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A8E525" w14:textId="08C384F7" w:rsidR="00763A0B" w:rsidRPr="004D0CF0" w:rsidRDefault="00763A0B" w:rsidP="00C00B30">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w:t>
            </w:r>
            <w:r>
              <w:rPr>
                <w:rFonts w:ascii="Arial" w:eastAsia="Times New Roman" w:hAnsi="Arial" w:cs="Arial"/>
                <w:b/>
                <w:bCs/>
                <w:color w:val="000000"/>
                <w:sz w:val="20"/>
                <w:szCs w:val="20"/>
                <w:lang w:eastAsia="it-IT"/>
              </w:rPr>
              <w:t>202</w:t>
            </w:r>
            <w:r w:rsidR="00C00B30">
              <w:rPr>
                <w:rFonts w:ascii="Arial" w:eastAsia="Times New Roman" w:hAnsi="Arial" w:cs="Arial"/>
                <w:b/>
                <w:bCs/>
                <w:color w:val="000000"/>
                <w:sz w:val="20"/>
                <w:szCs w:val="20"/>
                <w:lang w:eastAsia="it-IT"/>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6BA5A4" w14:textId="121FAF1F" w:rsidR="00763A0B" w:rsidRPr="004D0CF0" w:rsidRDefault="00763A0B" w:rsidP="00C00B30">
            <w:pPr>
              <w:spacing w:after="0" w:line="240" w:lineRule="auto"/>
              <w:jc w:val="center"/>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 xml:space="preserve">Anno </w:t>
            </w:r>
            <w:r>
              <w:rPr>
                <w:rFonts w:ascii="Arial" w:eastAsia="Times New Roman" w:hAnsi="Arial" w:cs="Arial"/>
                <w:b/>
                <w:bCs/>
                <w:color w:val="000000"/>
                <w:sz w:val="20"/>
                <w:szCs w:val="20"/>
                <w:lang w:eastAsia="it-IT"/>
              </w:rPr>
              <w:t>202</w:t>
            </w:r>
            <w:r w:rsidR="00C00B30">
              <w:rPr>
                <w:rFonts w:ascii="Arial" w:eastAsia="Times New Roman" w:hAnsi="Arial" w:cs="Arial"/>
                <w:b/>
                <w:bCs/>
                <w:color w:val="000000"/>
                <w:sz w:val="20"/>
                <w:szCs w:val="20"/>
                <w:lang w:eastAsia="it-IT"/>
              </w:rPr>
              <w:t>1</w:t>
            </w:r>
          </w:p>
        </w:tc>
      </w:tr>
      <w:tr w:rsidR="00763A0B" w:rsidRPr="004D0CF0" w14:paraId="11F5C13C" w14:textId="77777777" w:rsidTr="00275C2B">
        <w:trPr>
          <w:trHeight w:val="276"/>
          <w:jc w:val="center"/>
        </w:trPr>
        <w:tc>
          <w:tcPr>
            <w:tcW w:w="2828" w:type="dxa"/>
            <w:tcBorders>
              <w:top w:val="nil"/>
              <w:left w:val="single" w:sz="4" w:space="0" w:color="auto"/>
              <w:bottom w:val="single" w:sz="4" w:space="0" w:color="auto"/>
              <w:right w:val="single" w:sz="4" w:space="0" w:color="auto"/>
            </w:tcBorders>
            <w:shd w:val="clear" w:color="000000" w:fill="000000"/>
            <w:noWrap/>
            <w:vAlign w:val="bottom"/>
            <w:hideMark/>
          </w:tcPr>
          <w:p w14:paraId="515B7EFE" w14:textId="77777777" w:rsidR="00763A0B" w:rsidRPr="004D0CF0" w:rsidRDefault="00763A0B" w:rsidP="00275C2B">
            <w:pPr>
              <w:spacing w:after="0" w:line="240" w:lineRule="auto"/>
              <w:rPr>
                <w:rFonts w:ascii="Arial" w:eastAsia="Times New Roman" w:hAnsi="Arial" w:cs="Arial"/>
                <w:b/>
                <w:bCs/>
                <w:color w:val="FFFFFF"/>
                <w:sz w:val="20"/>
                <w:szCs w:val="20"/>
                <w:lang w:eastAsia="it-IT"/>
              </w:rPr>
            </w:pPr>
            <w:r w:rsidRPr="004D0CF0">
              <w:rPr>
                <w:rFonts w:ascii="Arial" w:eastAsia="Times New Roman" w:hAnsi="Arial" w:cs="Arial"/>
                <w:b/>
                <w:bCs/>
                <w:color w:val="FFFFFF"/>
                <w:sz w:val="20"/>
                <w:szCs w:val="20"/>
                <w:lang w:eastAsia="it-IT"/>
              </w:rPr>
              <w:t>Stato Patrimoniale</w:t>
            </w:r>
          </w:p>
        </w:tc>
        <w:tc>
          <w:tcPr>
            <w:tcW w:w="1275" w:type="dxa"/>
            <w:tcBorders>
              <w:top w:val="nil"/>
              <w:left w:val="nil"/>
              <w:bottom w:val="single" w:sz="4" w:space="0" w:color="auto"/>
              <w:right w:val="single" w:sz="4" w:space="0" w:color="auto"/>
            </w:tcBorders>
            <w:shd w:val="clear" w:color="000000" w:fill="000000"/>
            <w:noWrap/>
            <w:vAlign w:val="bottom"/>
            <w:hideMark/>
          </w:tcPr>
          <w:p w14:paraId="3E23A4B9" w14:textId="77777777" w:rsidR="00763A0B" w:rsidRPr="004D0CF0" w:rsidRDefault="00763A0B" w:rsidP="00275C2B">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7" w:type="dxa"/>
            <w:tcBorders>
              <w:top w:val="nil"/>
              <w:left w:val="nil"/>
              <w:bottom w:val="single" w:sz="4" w:space="0" w:color="auto"/>
              <w:right w:val="single" w:sz="4" w:space="0" w:color="auto"/>
            </w:tcBorders>
            <w:shd w:val="clear" w:color="000000" w:fill="000000"/>
            <w:noWrap/>
            <w:vAlign w:val="bottom"/>
            <w:hideMark/>
          </w:tcPr>
          <w:p w14:paraId="78732DDD" w14:textId="77777777" w:rsidR="00763A0B" w:rsidRPr="004D0CF0" w:rsidRDefault="00763A0B" w:rsidP="00275C2B">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5" w:type="dxa"/>
            <w:tcBorders>
              <w:top w:val="nil"/>
              <w:left w:val="nil"/>
              <w:bottom w:val="single" w:sz="4" w:space="0" w:color="auto"/>
              <w:right w:val="single" w:sz="4" w:space="0" w:color="auto"/>
            </w:tcBorders>
            <w:shd w:val="clear" w:color="000000" w:fill="000000"/>
            <w:noWrap/>
            <w:vAlign w:val="bottom"/>
            <w:hideMark/>
          </w:tcPr>
          <w:p w14:paraId="75B35D42" w14:textId="77777777" w:rsidR="00763A0B" w:rsidRPr="004D0CF0" w:rsidRDefault="00763A0B" w:rsidP="00275C2B">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418" w:type="dxa"/>
            <w:tcBorders>
              <w:top w:val="nil"/>
              <w:left w:val="nil"/>
              <w:bottom w:val="single" w:sz="4" w:space="0" w:color="auto"/>
              <w:right w:val="single" w:sz="4" w:space="0" w:color="auto"/>
            </w:tcBorders>
            <w:shd w:val="clear" w:color="000000" w:fill="000000"/>
            <w:noWrap/>
            <w:vAlign w:val="bottom"/>
            <w:hideMark/>
          </w:tcPr>
          <w:p w14:paraId="7D0DB56B" w14:textId="77777777" w:rsidR="00763A0B" w:rsidRPr="004D0CF0" w:rsidRDefault="00763A0B" w:rsidP="00275C2B">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r>
      <w:tr w:rsidR="00763A0B" w:rsidRPr="004D0CF0" w14:paraId="4DB7E4C8" w14:textId="77777777" w:rsidTr="00275C2B">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1C02DBE9" w14:textId="77777777" w:rsidR="00763A0B" w:rsidRPr="004D0CF0" w:rsidRDefault="00763A0B" w:rsidP="00275C2B">
            <w:pPr>
              <w:spacing w:after="0" w:line="240" w:lineRule="auto"/>
              <w:rPr>
                <w:rFonts w:ascii="Arial" w:eastAsia="Times New Roman" w:hAnsi="Arial" w:cs="Arial"/>
                <w:b/>
                <w:bCs/>
                <w:color w:val="000000"/>
                <w:sz w:val="20"/>
                <w:szCs w:val="20"/>
                <w:lang w:eastAsia="it-IT"/>
              </w:rPr>
            </w:pPr>
            <w:r w:rsidRPr="004D0CF0">
              <w:rPr>
                <w:rFonts w:ascii="Arial" w:eastAsia="Times New Roman" w:hAnsi="Arial" w:cs="Arial"/>
                <w:b/>
                <w:bCs/>
                <w:color w:val="000000"/>
                <w:sz w:val="20"/>
                <w:szCs w:val="20"/>
                <w:lang w:eastAsia="it-IT"/>
              </w:rPr>
              <w:t>**Margini**</w:t>
            </w:r>
          </w:p>
        </w:tc>
        <w:tc>
          <w:tcPr>
            <w:tcW w:w="1275" w:type="dxa"/>
            <w:tcBorders>
              <w:top w:val="nil"/>
              <w:left w:val="nil"/>
              <w:bottom w:val="single" w:sz="4" w:space="0" w:color="auto"/>
              <w:right w:val="single" w:sz="4" w:space="0" w:color="auto"/>
            </w:tcBorders>
            <w:shd w:val="clear" w:color="000000" w:fill="D9D9D9"/>
            <w:noWrap/>
            <w:vAlign w:val="center"/>
            <w:hideMark/>
          </w:tcPr>
          <w:p w14:paraId="34BB4D91" w14:textId="77777777" w:rsidR="00763A0B" w:rsidRPr="004D0CF0" w:rsidRDefault="00763A0B" w:rsidP="00275C2B">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7" w:type="dxa"/>
            <w:tcBorders>
              <w:top w:val="nil"/>
              <w:left w:val="nil"/>
              <w:bottom w:val="single" w:sz="4" w:space="0" w:color="auto"/>
              <w:right w:val="single" w:sz="4" w:space="0" w:color="auto"/>
            </w:tcBorders>
            <w:shd w:val="clear" w:color="000000" w:fill="D9D9D9"/>
            <w:noWrap/>
            <w:vAlign w:val="center"/>
            <w:hideMark/>
          </w:tcPr>
          <w:p w14:paraId="109B77F0" w14:textId="77777777" w:rsidR="00763A0B" w:rsidRPr="004D0CF0" w:rsidRDefault="00763A0B" w:rsidP="00275C2B">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5" w:type="dxa"/>
            <w:tcBorders>
              <w:top w:val="nil"/>
              <w:left w:val="nil"/>
              <w:bottom w:val="single" w:sz="4" w:space="0" w:color="auto"/>
              <w:right w:val="single" w:sz="4" w:space="0" w:color="auto"/>
            </w:tcBorders>
            <w:shd w:val="clear" w:color="000000" w:fill="D9D9D9"/>
            <w:noWrap/>
            <w:vAlign w:val="center"/>
            <w:hideMark/>
          </w:tcPr>
          <w:p w14:paraId="3754F7DF" w14:textId="77777777" w:rsidR="00763A0B" w:rsidRPr="004D0CF0" w:rsidRDefault="00763A0B" w:rsidP="00275C2B">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418" w:type="dxa"/>
            <w:tcBorders>
              <w:top w:val="nil"/>
              <w:left w:val="nil"/>
              <w:bottom w:val="single" w:sz="4" w:space="0" w:color="auto"/>
              <w:right w:val="single" w:sz="4" w:space="0" w:color="auto"/>
            </w:tcBorders>
            <w:shd w:val="clear" w:color="000000" w:fill="D9D9D9"/>
            <w:noWrap/>
            <w:vAlign w:val="center"/>
            <w:hideMark/>
          </w:tcPr>
          <w:p w14:paraId="51B5FD01" w14:textId="77777777" w:rsidR="00763A0B" w:rsidRPr="004D0CF0" w:rsidRDefault="00763A0B" w:rsidP="00275C2B">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r>
      <w:tr w:rsidR="00C00B30" w:rsidRPr="004D0CF0" w14:paraId="6978C9CD"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22D0A932"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Pr>
                <w:rFonts w:ascii="Arial" w:eastAsia="Times New Roman" w:hAnsi="Arial" w:cs="Arial"/>
                <w:color w:val="000000"/>
                <w:spacing w:val="-16"/>
                <w:sz w:val="20"/>
                <w:szCs w:val="20"/>
                <w:lang w:eastAsia="it-IT"/>
              </w:rPr>
              <w:t>Margine di t</w:t>
            </w:r>
            <w:r w:rsidRPr="00C25998">
              <w:rPr>
                <w:rFonts w:ascii="Arial" w:eastAsia="Times New Roman" w:hAnsi="Arial" w:cs="Arial"/>
                <w:color w:val="000000"/>
                <w:spacing w:val="-16"/>
                <w:sz w:val="20"/>
                <w:szCs w:val="20"/>
                <w:lang w:eastAsia="it-IT"/>
              </w:rPr>
              <w:t xml:space="preserve">esoreria </w:t>
            </w:r>
          </w:p>
        </w:tc>
        <w:tc>
          <w:tcPr>
            <w:tcW w:w="1275" w:type="dxa"/>
            <w:tcBorders>
              <w:top w:val="nil"/>
              <w:left w:val="nil"/>
              <w:bottom w:val="single" w:sz="4" w:space="0" w:color="auto"/>
              <w:right w:val="single" w:sz="4" w:space="0" w:color="auto"/>
            </w:tcBorders>
            <w:shd w:val="clear" w:color="auto" w:fill="auto"/>
            <w:noWrap/>
            <w:vAlign w:val="center"/>
          </w:tcPr>
          <w:p w14:paraId="6A7EC535" w14:textId="704FCB93" w:rsidR="00C00B30" w:rsidRPr="004D0CF0" w:rsidRDefault="00CA540F" w:rsidP="00C00B30">
            <w:pPr>
              <w:spacing w:after="0" w:line="240" w:lineRule="auto"/>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750.466</w:t>
            </w:r>
          </w:p>
        </w:tc>
        <w:tc>
          <w:tcPr>
            <w:tcW w:w="1277" w:type="dxa"/>
            <w:tcBorders>
              <w:top w:val="nil"/>
              <w:left w:val="nil"/>
              <w:bottom w:val="single" w:sz="4" w:space="0" w:color="auto"/>
              <w:right w:val="single" w:sz="4" w:space="0" w:color="auto"/>
            </w:tcBorders>
            <w:shd w:val="clear" w:color="auto" w:fill="auto"/>
            <w:noWrap/>
            <w:vAlign w:val="center"/>
          </w:tcPr>
          <w:p w14:paraId="645D22E0" w14:textId="77777777" w:rsidR="00C00B30" w:rsidRDefault="00C00B30" w:rsidP="00C00B30">
            <w:pPr>
              <w:spacing w:after="0" w:line="240" w:lineRule="auto"/>
              <w:jc w:val="right"/>
              <w:rPr>
                <w:rFonts w:ascii="Arial" w:eastAsia="Times New Roman" w:hAnsi="Arial" w:cs="Arial"/>
                <w:color w:val="000000"/>
                <w:sz w:val="20"/>
                <w:szCs w:val="20"/>
                <w:lang w:eastAsia="it-IT"/>
              </w:rPr>
            </w:pPr>
          </w:p>
          <w:p w14:paraId="640FD493" w14:textId="77777777" w:rsidR="00C00B30" w:rsidRDefault="00C00B30" w:rsidP="00C00B30">
            <w:pPr>
              <w:spacing w:after="0" w:line="240" w:lineRule="auto"/>
              <w:rPr>
                <w:rFonts w:ascii="Arial" w:eastAsia="Times New Roman" w:hAnsi="Arial" w:cs="Arial"/>
                <w:color w:val="000000"/>
                <w:sz w:val="20"/>
                <w:szCs w:val="20"/>
                <w:lang w:eastAsia="it-IT"/>
              </w:rPr>
            </w:pPr>
          </w:p>
          <w:p w14:paraId="4E5AE624" w14:textId="77777777" w:rsidR="00C00B30" w:rsidRDefault="00C00B30" w:rsidP="00C00B30">
            <w:pPr>
              <w:spacing w:after="0" w:line="240" w:lineRule="auto"/>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       776.685</w:t>
            </w:r>
          </w:p>
          <w:p w14:paraId="103BCBA6" w14:textId="77777777" w:rsidR="00C00B30" w:rsidRDefault="00C00B30" w:rsidP="00C00B30">
            <w:pPr>
              <w:spacing w:after="0" w:line="240" w:lineRule="auto"/>
              <w:rPr>
                <w:rFonts w:ascii="Arial" w:eastAsia="Times New Roman" w:hAnsi="Arial" w:cs="Arial"/>
                <w:color w:val="000000"/>
                <w:sz w:val="20"/>
                <w:szCs w:val="20"/>
                <w:lang w:eastAsia="it-IT"/>
              </w:rPr>
            </w:pPr>
          </w:p>
          <w:p w14:paraId="1C608036" w14:textId="68114905" w:rsidR="00C00B30" w:rsidRPr="004D0CF0" w:rsidRDefault="00C00B30" w:rsidP="00C00B30">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3D23580E" w14:textId="6100473D"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773.835</w:t>
            </w:r>
          </w:p>
        </w:tc>
        <w:tc>
          <w:tcPr>
            <w:tcW w:w="1418" w:type="dxa"/>
            <w:tcBorders>
              <w:top w:val="nil"/>
              <w:left w:val="nil"/>
              <w:bottom w:val="single" w:sz="4" w:space="0" w:color="auto"/>
              <w:right w:val="single" w:sz="4" w:space="0" w:color="auto"/>
            </w:tcBorders>
            <w:shd w:val="clear" w:color="auto" w:fill="auto"/>
            <w:noWrap/>
            <w:vAlign w:val="center"/>
          </w:tcPr>
          <w:p w14:paraId="0FF5F305" w14:textId="62B9E83E"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607.459</w:t>
            </w:r>
          </w:p>
        </w:tc>
      </w:tr>
      <w:tr w:rsidR="00C00B30" w:rsidRPr="004D0CF0" w14:paraId="5522D872"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59E2A625" w14:textId="77777777" w:rsidR="00C00B30"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Margine di </w:t>
            </w:r>
            <w:r>
              <w:rPr>
                <w:rFonts w:ascii="Arial" w:eastAsia="Times New Roman" w:hAnsi="Arial" w:cs="Arial"/>
                <w:color w:val="000000"/>
                <w:spacing w:val="-16"/>
                <w:sz w:val="20"/>
                <w:szCs w:val="20"/>
                <w:lang w:eastAsia="it-IT"/>
              </w:rPr>
              <w:t>s</w:t>
            </w:r>
            <w:r w:rsidRPr="00C25998">
              <w:rPr>
                <w:rFonts w:ascii="Arial" w:eastAsia="Times New Roman" w:hAnsi="Arial" w:cs="Arial"/>
                <w:color w:val="000000"/>
                <w:spacing w:val="-16"/>
                <w:sz w:val="20"/>
                <w:szCs w:val="20"/>
                <w:lang w:eastAsia="it-IT"/>
              </w:rPr>
              <w:t xml:space="preserve">truttura </w:t>
            </w:r>
          </w:p>
          <w:p w14:paraId="670CD020"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5F999A38" w14:textId="4DF701CA"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5.758</w:t>
            </w:r>
          </w:p>
        </w:tc>
        <w:tc>
          <w:tcPr>
            <w:tcW w:w="1277" w:type="dxa"/>
            <w:tcBorders>
              <w:top w:val="nil"/>
              <w:left w:val="nil"/>
              <w:bottom w:val="single" w:sz="4" w:space="0" w:color="auto"/>
              <w:right w:val="single" w:sz="4" w:space="0" w:color="auto"/>
            </w:tcBorders>
            <w:shd w:val="clear" w:color="auto" w:fill="auto"/>
            <w:noWrap/>
            <w:vAlign w:val="center"/>
          </w:tcPr>
          <w:p w14:paraId="110F80BF" w14:textId="77777777" w:rsidR="00C00B3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18.017</w:t>
            </w:r>
          </w:p>
          <w:p w14:paraId="1ACADA48" w14:textId="77777777" w:rsidR="00C00B30" w:rsidRDefault="00C00B30" w:rsidP="00C00B30">
            <w:pPr>
              <w:spacing w:after="0" w:line="240" w:lineRule="auto"/>
              <w:jc w:val="right"/>
              <w:rPr>
                <w:rFonts w:ascii="Arial" w:eastAsia="Times New Roman" w:hAnsi="Arial" w:cs="Arial"/>
                <w:color w:val="000000"/>
                <w:sz w:val="20"/>
                <w:szCs w:val="20"/>
                <w:lang w:eastAsia="it-IT"/>
              </w:rPr>
            </w:pPr>
          </w:p>
          <w:p w14:paraId="22BE4949" w14:textId="65045087" w:rsidR="00C00B30" w:rsidRPr="004D0CF0" w:rsidRDefault="00C00B30" w:rsidP="00C00B30">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790E416B" w14:textId="7324CD27"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40.519</w:t>
            </w:r>
          </w:p>
        </w:tc>
        <w:tc>
          <w:tcPr>
            <w:tcW w:w="1418" w:type="dxa"/>
            <w:tcBorders>
              <w:top w:val="nil"/>
              <w:left w:val="nil"/>
              <w:bottom w:val="single" w:sz="4" w:space="0" w:color="auto"/>
              <w:right w:val="single" w:sz="4" w:space="0" w:color="auto"/>
            </w:tcBorders>
            <w:shd w:val="clear" w:color="auto" w:fill="auto"/>
            <w:noWrap/>
            <w:vAlign w:val="center"/>
          </w:tcPr>
          <w:p w14:paraId="32F0A626" w14:textId="65DF3891"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21.315</w:t>
            </w:r>
          </w:p>
        </w:tc>
      </w:tr>
      <w:tr w:rsidR="00C00B30" w:rsidRPr="004D0CF0" w14:paraId="257B242C"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34D662AF"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Margine di disponibilità </w:t>
            </w:r>
          </w:p>
        </w:tc>
        <w:tc>
          <w:tcPr>
            <w:tcW w:w="1275" w:type="dxa"/>
            <w:tcBorders>
              <w:top w:val="nil"/>
              <w:left w:val="nil"/>
              <w:bottom w:val="single" w:sz="4" w:space="0" w:color="auto"/>
              <w:right w:val="single" w:sz="4" w:space="0" w:color="auto"/>
            </w:tcBorders>
            <w:shd w:val="clear" w:color="auto" w:fill="auto"/>
            <w:noWrap/>
            <w:vAlign w:val="center"/>
          </w:tcPr>
          <w:p w14:paraId="241E6095" w14:textId="348FCF86" w:rsidR="00C00B30" w:rsidRPr="004D0CF0" w:rsidRDefault="00CA540F"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750.466</w:t>
            </w:r>
          </w:p>
        </w:tc>
        <w:tc>
          <w:tcPr>
            <w:tcW w:w="1277" w:type="dxa"/>
            <w:tcBorders>
              <w:top w:val="nil"/>
              <w:left w:val="nil"/>
              <w:bottom w:val="single" w:sz="4" w:space="0" w:color="auto"/>
              <w:right w:val="single" w:sz="4" w:space="0" w:color="auto"/>
            </w:tcBorders>
            <w:shd w:val="clear" w:color="auto" w:fill="auto"/>
            <w:noWrap/>
            <w:vAlign w:val="center"/>
          </w:tcPr>
          <w:p w14:paraId="3F8A05FE" w14:textId="77777777" w:rsidR="00C00B3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776.685</w:t>
            </w:r>
          </w:p>
          <w:p w14:paraId="3C6BEB80" w14:textId="0FF6B442" w:rsidR="00C00B30" w:rsidRPr="004D0CF0" w:rsidRDefault="00C00B30" w:rsidP="00C00B30">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13367042" w14:textId="2D14A9A8"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773.835</w:t>
            </w:r>
          </w:p>
        </w:tc>
        <w:tc>
          <w:tcPr>
            <w:tcW w:w="1418" w:type="dxa"/>
            <w:tcBorders>
              <w:top w:val="nil"/>
              <w:left w:val="nil"/>
              <w:bottom w:val="single" w:sz="4" w:space="0" w:color="auto"/>
              <w:right w:val="single" w:sz="4" w:space="0" w:color="auto"/>
            </w:tcBorders>
            <w:shd w:val="clear" w:color="auto" w:fill="auto"/>
            <w:noWrap/>
            <w:vAlign w:val="center"/>
          </w:tcPr>
          <w:p w14:paraId="2A7D56E4" w14:textId="0CBD5758"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607.459</w:t>
            </w:r>
          </w:p>
        </w:tc>
      </w:tr>
      <w:tr w:rsidR="00C00B30" w:rsidRPr="004D0CF0" w14:paraId="54030547" w14:textId="77777777" w:rsidTr="00C00B30">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0027806F" w14:textId="77777777" w:rsidR="00C00B30" w:rsidRPr="00C25998" w:rsidRDefault="00C00B30" w:rsidP="00C00B30">
            <w:pPr>
              <w:spacing w:after="0" w:line="240" w:lineRule="auto"/>
              <w:rPr>
                <w:rFonts w:ascii="Arial" w:eastAsia="Times New Roman" w:hAnsi="Arial" w:cs="Arial"/>
                <w:b/>
                <w:bCs/>
                <w:color w:val="000000"/>
                <w:spacing w:val="-16"/>
                <w:sz w:val="20"/>
                <w:szCs w:val="20"/>
                <w:lang w:eastAsia="it-IT"/>
              </w:rPr>
            </w:pPr>
            <w:r w:rsidRPr="00C25998">
              <w:rPr>
                <w:rFonts w:ascii="Arial" w:eastAsia="Times New Roman" w:hAnsi="Arial" w:cs="Arial"/>
                <w:b/>
                <w:bCs/>
                <w:color w:val="000000"/>
                <w:spacing w:val="-16"/>
                <w:sz w:val="20"/>
                <w:szCs w:val="20"/>
                <w:lang w:eastAsia="it-IT"/>
              </w:rPr>
              <w:t>**Indici**</w:t>
            </w:r>
          </w:p>
        </w:tc>
        <w:tc>
          <w:tcPr>
            <w:tcW w:w="1275" w:type="dxa"/>
            <w:tcBorders>
              <w:top w:val="nil"/>
              <w:left w:val="nil"/>
              <w:bottom w:val="single" w:sz="4" w:space="0" w:color="auto"/>
              <w:right w:val="single" w:sz="4" w:space="0" w:color="auto"/>
            </w:tcBorders>
            <w:shd w:val="clear" w:color="000000" w:fill="D9D9D9"/>
            <w:noWrap/>
            <w:vAlign w:val="center"/>
          </w:tcPr>
          <w:p w14:paraId="0676CAA4" w14:textId="5AAD2144" w:rsidR="00C00B30" w:rsidRPr="004D0CF0" w:rsidRDefault="00C00B30" w:rsidP="00C00B30">
            <w:pPr>
              <w:spacing w:after="0" w:line="240" w:lineRule="auto"/>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000000" w:fill="D9D9D9"/>
            <w:noWrap/>
            <w:vAlign w:val="center"/>
          </w:tcPr>
          <w:p w14:paraId="16489E6B" w14:textId="56CC7F1E" w:rsidR="00C00B30" w:rsidRPr="004D0CF0" w:rsidRDefault="00C00B30" w:rsidP="00C00B3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5" w:type="dxa"/>
            <w:tcBorders>
              <w:top w:val="nil"/>
              <w:left w:val="nil"/>
              <w:bottom w:val="single" w:sz="4" w:space="0" w:color="auto"/>
              <w:right w:val="single" w:sz="4" w:space="0" w:color="auto"/>
            </w:tcBorders>
            <w:shd w:val="clear" w:color="000000" w:fill="D9D9D9"/>
            <w:noWrap/>
            <w:vAlign w:val="center"/>
          </w:tcPr>
          <w:p w14:paraId="7AF2307E" w14:textId="7E358BEB" w:rsidR="00C00B30" w:rsidRPr="004D0CF0" w:rsidRDefault="00C00B30" w:rsidP="00C00B3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418" w:type="dxa"/>
            <w:tcBorders>
              <w:top w:val="nil"/>
              <w:left w:val="nil"/>
              <w:bottom w:val="single" w:sz="4" w:space="0" w:color="auto"/>
              <w:right w:val="single" w:sz="4" w:space="0" w:color="auto"/>
            </w:tcBorders>
            <w:shd w:val="clear" w:color="000000" w:fill="D9D9D9"/>
            <w:noWrap/>
            <w:vAlign w:val="center"/>
          </w:tcPr>
          <w:p w14:paraId="383B3F95" w14:textId="6745B765" w:rsidR="00C00B30" w:rsidRPr="004D0CF0" w:rsidRDefault="00C00B30" w:rsidP="00C00B3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r>
      <w:tr w:rsidR="00C00B30" w:rsidRPr="004D0CF0" w14:paraId="4E1EF83D"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12EE5FF2"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Indice di liquidità </w:t>
            </w:r>
          </w:p>
        </w:tc>
        <w:tc>
          <w:tcPr>
            <w:tcW w:w="1275" w:type="dxa"/>
            <w:tcBorders>
              <w:top w:val="nil"/>
              <w:left w:val="nil"/>
              <w:bottom w:val="single" w:sz="4" w:space="0" w:color="auto"/>
              <w:right w:val="single" w:sz="4" w:space="0" w:color="auto"/>
            </w:tcBorders>
            <w:shd w:val="clear" w:color="auto" w:fill="auto"/>
            <w:noWrap/>
            <w:vAlign w:val="center"/>
          </w:tcPr>
          <w:p w14:paraId="5DE370A6" w14:textId="32488568"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2,74</w:t>
            </w:r>
          </w:p>
        </w:tc>
        <w:tc>
          <w:tcPr>
            <w:tcW w:w="1277" w:type="dxa"/>
            <w:tcBorders>
              <w:top w:val="nil"/>
              <w:left w:val="nil"/>
              <w:bottom w:val="single" w:sz="4" w:space="0" w:color="auto"/>
              <w:right w:val="single" w:sz="4" w:space="0" w:color="auto"/>
            </w:tcBorders>
            <w:shd w:val="clear" w:color="auto" w:fill="auto"/>
            <w:noWrap/>
            <w:vAlign w:val="center"/>
          </w:tcPr>
          <w:p w14:paraId="796570CF" w14:textId="789995CC"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2,86</w:t>
            </w:r>
          </w:p>
        </w:tc>
        <w:tc>
          <w:tcPr>
            <w:tcW w:w="1275" w:type="dxa"/>
            <w:tcBorders>
              <w:top w:val="nil"/>
              <w:left w:val="nil"/>
              <w:bottom w:val="single" w:sz="4" w:space="0" w:color="auto"/>
              <w:right w:val="single" w:sz="4" w:space="0" w:color="auto"/>
            </w:tcBorders>
            <w:shd w:val="clear" w:color="auto" w:fill="auto"/>
            <w:noWrap/>
            <w:vAlign w:val="center"/>
          </w:tcPr>
          <w:p w14:paraId="43A5B39A" w14:textId="3714B9D5"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3,02</w:t>
            </w:r>
          </w:p>
        </w:tc>
        <w:tc>
          <w:tcPr>
            <w:tcW w:w="1418" w:type="dxa"/>
            <w:tcBorders>
              <w:top w:val="nil"/>
              <w:left w:val="nil"/>
              <w:bottom w:val="single" w:sz="4" w:space="0" w:color="auto"/>
              <w:right w:val="single" w:sz="4" w:space="0" w:color="auto"/>
            </w:tcBorders>
            <w:shd w:val="clear" w:color="auto" w:fill="auto"/>
            <w:noWrap/>
            <w:vAlign w:val="center"/>
          </w:tcPr>
          <w:p w14:paraId="46E80545" w14:textId="3129EAA2"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3,02</w:t>
            </w:r>
          </w:p>
        </w:tc>
      </w:tr>
      <w:tr w:rsidR="00C00B30" w:rsidRPr="004D0CF0" w14:paraId="172C9690"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152623A4"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Indice di disponibilità </w:t>
            </w:r>
          </w:p>
        </w:tc>
        <w:tc>
          <w:tcPr>
            <w:tcW w:w="1275" w:type="dxa"/>
            <w:tcBorders>
              <w:top w:val="nil"/>
              <w:left w:val="nil"/>
              <w:bottom w:val="single" w:sz="4" w:space="0" w:color="auto"/>
              <w:right w:val="single" w:sz="4" w:space="0" w:color="auto"/>
            </w:tcBorders>
            <w:shd w:val="clear" w:color="auto" w:fill="auto"/>
            <w:noWrap/>
            <w:vAlign w:val="center"/>
          </w:tcPr>
          <w:p w14:paraId="7B5CAE93" w14:textId="2332AE1D"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2,74</w:t>
            </w:r>
          </w:p>
        </w:tc>
        <w:tc>
          <w:tcPr>
            <w:tcW w:w="1277" w:type="dxa"/>
            <w:tcBorders>
              <w:top w:val="nil"/>
              <w:left w:val="nil"/>
              <w:bottom w:val="single" w:sz="4" w:space="0" w:color="auto"/>
              <w:right w:val="single" w:sz="4" w:space="0" w:color="auto"/>
            </w:tcBorders>
            <w:shd w:val="clear" w:color="auto" w:fill="auto"/>
            <w:noWrap/>
            <w:vAlign w:val="center"/>
          </w:tcPr>
          <w:p w14:paraId="301B22EB" w14:textId="77777777" w:rsidR="00C00B30" w:rsidRDefault="00C00B30" w:rsidP="00C00B30">
            <w:pPr>
              <w:spacing w:after="0" w:line="240" w:lineRule="auto"/>
              <w:jc w:val="right"/>
              <w:rPr>
                <w:rFonts w:ascii="Arial" w:eastAsia="Times New Roman" w:hAnsi="Arial" w:cs="Arial"/>
                <w:color w:val="000000"/>
                <w:sz w:val="20"/>
                <w:szCs w:val="20"/>
                <w:lang w:eastAsia="it-IT"/>
              </w:rPr>
            </w:pPr>
          </w:p>
          <w:p w14:paraId="1C175196" w14:textId="77777777" w:rsidR="00C00B3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2,86</w:t>
            </w:r>
          </w:p>
          <w:p w14:paraId="2DA241BA" w14:textId="5EBDC56C" w:rsidR="00C00B30" w:rsidRPr="004D0CF0" w:rsidRDefault="00C00B30" w:rsidP="00C00B30">
            <w:pPr>
              <w:spacing w:after="0" w:line="240" w:lineRule="auto"/>
              <w:jc w:val="right"/>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44C04E04" w14:textId="45A1B485"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3.02</w:t>
            </w:r>
          </w:p>
        </w:tc>
        <w:tc>
          <w:tcPr>
            <w:tcW w:w="1418" w:type="dxa"/>
            <w:tcBorders>
              <w:top w:val="nil"/>
              <w:left w:val="nil"/>
              <w:bottom w:val="single" w:sz="4" w:space="0" w:color="auto"/>
              <w:right w:val="single" w:sz="4" w:space="0" w:color="auto"/>
            </w:tcBorders>
            <w:shd w:val="clear" w:color="auto" w:fill="auto"/>
            <w:noWrap/>
            <w:vAlign w:val="center"/>
          </w:tcPr>
          <w:p w14:paraId="207DDA4E" w14:textId="679721AA"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2,07</w:t>
            </w:r>
          </w:p>
        </w:tc>
      </w:tr>
      <w:tr w:rsidR="00C00B30" w:rsidRPr="004D0CF0" w14:paraId="0CC90AFA"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2498DCF1"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Indice di copertura delle immobilizzazioni </w:t>
            </w:r>
          </w:p>
        </w:tc>
        <w:tc>
          <w:tcPr>
            <w:tcW w:w="1275" w:type="dxa"/>
            <w:tcBorders>
              <w:top w:val="nil"/>
              <w:left w:val="nil"/>
              <w:bottom w:val="single" w:sz="4" w:space="0" w:color="auto"/>
              <w:right w:val="single" w:sz="4" w:space="0" w:color="auto"/>
            </w:tcBorders>
            <w:shd w:val="clear" w:color="auto" w:fill="auto"/>
            <w:noWrap/>
            <w:vAlign w:val="center"/>
          </w:tcPr>
          <w:p w14:paraId="1760E019" w14:textId="6A4E6560"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1,06</w:t>
            </w:r>
          </w:p>
        </w:tc>
        <w:tc>
          <w:tcPr>
            <w:tcW w:w="1277" w:type="dxa"/>
            <w:tcBorders>
              <w:top w:val="nil"/>
              <w:left w:val="nil"/>
              <w:bottom w:val="single" w:sz="4" w:space="0" w:color="auto"/>
              <w:right w:val="single" w:sz="4" w:space="0" w:color="auto"/>
            </w:tcBorders>
            <w:shd w:val="clear" w:color="auto" w:fill="auto"/>
            <w:noWrap/>
            <w:vAlign w:val="center"/>
          </w:tcPr>
          <w:p w14:paraId="7A81CAB0" w14:textId="2BF35E4F"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1,20</w:t>
            </w:r>
          </w:p>
        </w:tc>
        <w:tc>
          <w:tcPr>
            <w:tcW w:w="1275" w:type="dxa"/>
            <w:tcBorders>
              <w:top w:val="nil"/>
              <w:left w:val="nil"/>
              <w:bottom w:val="single" w:sz="4" w:space="0" w:color="auto"/>
              <w:right w:val="single" w:sz="4" w:space="0" w:color="auto"/>
            </w:tcBorders>
            <w:shd w:val="clear" w:color="auto" w:fill="auto"/>
            <w:noWrap/>
            <w:vAlign w:val="center"/>
          </w:tcPr>
          <w:p w14:paraId="6049B733" w14:textId="3275D797"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1,69</w:t>
            </w:r>
          </w:p>
        </w:tc>
        <w:tc>
          <w:tcPr>
            <w:tcW w:w="1418" w:type="dxa"/>
            <w:tcBorders>
              <w:top w:val="nil"/>
              <w:left w:val="nil"/>
              <w:bottom w:val="single" w:sz="4" w:space="0" w:color="auto"/>
              <w:right w:val="single" w:sz="4" w:space="0" w:color="auto"/>
            </w:tcBorders>
            <w:shd w:val="clear" w:color="auto" w:fill="auto"/>
            <w:noWrap/>
            <w:vAlign w:val="center"/>
          </w:tcPr>
          <w:p w14:paraId="070603B6" w14:textId="6DDC7BFE"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1.39</w:t>
            </w:r>
          </w:p>
        </w:tc>
      </w:tr>
      <w:tr w:rsidR="00C00B30" w:rsidRPr="004D0CF0" w14:paraId="78D4E701"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17B6D298"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 xml:space="preserve">Leverage </w:t>
            </w:r>
          </w:p>
        </w:tc>
        <w:tc>
          <w:tcPr>
            <w:tcW w:w="1275" w:type="dxa"/>
            <w:tcBorders>
              <w:top w:val="nil"/>
              <w:left w:val="nil"/>
              <w:bottom w:val="single" w:sz="4" w:space="0" w:color="auto"/>
              <w:right w:val="single" w:sz="4" w:space="0" w:color="auto"/>
            </w:tcBorders>
            <w:shd w:val="clear" w:color="auto" w:fill="auto"/>
            <w:noWrap/>
            <w:vAlign w:val="center"/>
          </w:tcPr>
          <w:p w14:paraId="5BB9C66B" w14:textId="5C9401B8"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12,25</w:t>
            </w:r>
          </w:p>
        </w:tc>
        <w:tc>
          <w:tcPr>
            <w:tcW w:w="1277" w:type="dxa"/>
            <w:tcBorders>
              <w:top w:val="nil"/>
              <w:left w:val="nil"/>
              <w:bottom w:val="single" w:sz="4" w:space="0" w:color="auto"/>
              <w:right w:val="single" w:sz="4" w:space="0" w:color="auto"/>
            </w:tcBorders>
            <w:shd w:val="clear" w:color="auto" w:fill="auto"/>
            <w:noWrap/>
            <w:vAlign w:val="center"/>
          </w:tcPr>
          <w:p w14:paraId="00FDCF5E" w14:textId="3E8DABB2"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11,78</w:t>
            </w:r>
          </w:p>
        </w:tc>
        <w:tc>
          <w:tcPr>
            <w:tcW w:w="1275" w:type="dxa"/>
            <w:tcBorders>
              <w:top w:val="nil"/>
              <w:left w:val="nil"/>
              <w:bottom w:val="single" w:sz="4" w:space="0" w:color="auto"/>
              <w:right w:val="single" w:sz="4" w:space="0" w:color="auto"/>
            </w:tcBorders>
            <w:shd w:val="clear" w:color="auto" w:fill="auto"/>
            <w:noWrap/>
            <w:vAlign w:val="center"/>
          </w:tcPr>
          <w:p w14:paraId="2408EA1E" w14:textId="5C009F35"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12,30</w:t>
            </w:r>
          </w:p>
        </w:tc>
        <w:tc>
          <w:tcPr>
            <w:tcW w:w="1418" w:type="dxa"/>
            <w:tcBorders>
              <w:top w:val="nil"/>
              <w:left w:val="nil"/>
              <w:bottom w:val="single" w:sz="4" w:space="0" w:color="auto"/>
              <w:right w:val="single" w:sz="4" w:space="0" w:color="auto"/>
            </w:tcBorders>
            <w:shd w:val="clear" w:color="auto" w:fill="auto"/>
            <w:noWrap/>
            <w:vAlign w:val="center"/>
          </w:tcPr>
          <w:p w14:paraId="050A57BF" w14:textId="1EE8A267"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14,54</w:t>
            </w:r>
          </w:p>
        </w:tc>
      </w:tr>
      <w:tr w:rsidR="00C00B30" w:rsidRPr="004D0CF0" w14:paraId="35B967C0" w14:textId="77777777" w:rsidTr="00C00B30">
        <w:trPr>
          <w:trHeight w:val="276"/>
          <w:jc w:val="center"/>
        </w:trPr>
        <w:tc>
          <w:tcPr>
            <w:tcW w:w="28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AAF04CB" w14:textId="77777777" w:rsidR="00C00B30" w:rsidRPr="00C25998" w:rsidRDefault="00C00B30" w:rsidP="00C00B30">
            <w:pPr>
              <w:spacing w:after="0" w:line="240" w:lineRule="auto"/>
              <w:rPr>
                <w:rFonts w:ascii="Arial" w:eastAsia="Times New Roman" w:hAnsi="Arial" w:cs="Arial"/>
                <w:b/>
                <w:bCs/>
                <w:color w:val="FFFFFF"/>
                <w:spacing w:val="-16"/>
                <w:sz w:val="20"/>
                <w:szCs w:val="20"/>
                <w:lang w:eastAsia="it-IT"/>
              </w:rPr>
            </w:pPr>
            <w:r w:rsidRPr="00C25998">
              <w:rPr>
                <w:rFonts w:ascii="Arial" w:eastAsia="Times New Roman" w:hAnsi="Arial" w:cs="Arial"/>
                <w:b/>
                <w:bCs/>
                <w:color w:val="FFFFFF"/>
                <w:spacing w:val="-16"/>
                <w:sz w:val="20"/>
                <w:szCs w:val="20"/>
                <w:lang w:eastAsia="it-IT"/>
              </w:rPr>
              <w:t>Conto economico</w:t>
            </w:r>
          </w:p>
        </w:tc>
        <w:tc>
          <w:tcPr>
            <w:tcW w:w="1275" w:type="dxa"/>
            <w:tcBorders>
              <w:top w:val="single" w:sz="4" w:space="0" w:color="auto"/>
              <w:left w:val="nil"/>
              <w:bottom w:val="single" w:sz="4" w:space="0" w:color="auto"/>
              <w:right w:val="single" w:sz="4" w:space="0" w:color="auto"/>
            </w:tcBorders>
            <w:shd w:val="clear" w:color="000000" w:fill="000000"/>
            <w:noWrap/>
            <w:vAlign w:val="center"/>
          </w:tcPr>
          <w:p w14:paraId="47579F83" w14:textId="71F40BF4" w:rsidR="00C00B30" w:rsidRPr="004D0CF0" w:rsidRDefault="00C00B30" w:rsidP="00C00B30">
            <w:pPr>
              <w:spacing w:after="0" w:line="240" w:lineRule="auto"/>
              <w:rPr>
                <w:rFonts w:ascii="Arial" w:eastAsia="Times New Roman" w:hAnsi="Arial" w:cs="Arial"/>
                <w:color w:val="FFFFFF"/>
                <w:sz w:val="20"/>
                <w:szCs w:val="20"/>
                <w:lang w:eastAsia="it-IT"/>
              </w:rPr>
            </w:pPr>
          </w:p>
        </w:tc>
        <w:tc>
          <w:tcPr>
            <w:tcW w:w="1277" w:type="dxa"/>
            <w:tcBorders>
              <w:top w:val="single" w:sz="4" w:space="0" w:color="auto"/>
              <w:left w:val="nil"/>
              <w:bottom w:val="single" w:sz="4" w:space="0" w:color="auto"/>
              <w:right w:val="single" w:sz="4" w:space="0" w:color="auto"/>
            </w:tcBorders>
            <w:shd w:val="clear" w:color="000000" w:fill="000000"/>
            <w:noWrap/>
            <w:vAlign w:val="center"/>
          </w:tcPr>
          <w:p w14:paraId="078F2E2C" w14:textId="5DAAFD57" w:rsidR="00C00B30" w:rsidRPr="004D0CF0" w:rsidRDefault="00C00B30" w:rsidP="00C00B3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275" w:type="dxa"/>
            <w:tcBorders>
              <w:top w:val="single" w:sz="4" w:space="0" w:color="auto"/>
              <w:left w:val="nil"/>
              <w:bottom w:val="single" w:sz="4" w:space="0" w:color="auto"/>
              <w:right w:val="single" w:sz="4" w:space="0" w:color="auto"/>
            </w:tcBorders>
            <w:shd w:val="clear" w:color="000000" w:fill="000000"/>
            <w:noWrap/>
            <w:vAlign w:val="center"/>
          </w:tcPr>
          <w:p w14:paraId="1AEB0FB3" w14:textId="03C5EE17" w:rsidR="00C00B30" w:rsidRPr="004D0CF0" w:rsidRDefault="00C00B30" w:rsidP="00C00B3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c>
          <w:tcPr>
            <w:tcW w:w="1418" w:type="dxa"/>
            <w:tcBorders>
              <w:top w:val="single" w:sz="4" w:space="0" w:color="auto"/>
              <w:left w:val="nil"/>
              <w:bottom w:val="single" w:sz="4" w:space="0" w:color="auto"/>
              <w:right w:val="single" w:sz="4" w:space="0" w:color="auto"/>
            </w:tcBorders>
            <w:shd w:val="clear" w:color="000000" w:fill="000000"/>
            <w:noWrap/>
            <w:vAlign w:val="center"/>
          </w:tcPr>
          <w:p w14:paraId="46C604F8" w14:textId="5B4BA904" w:rsidR="00C00B30" w:rsidRPr="004D0CF0" w:rsidRDefault="00C00B30" w:rsidP="00C00B30">
            <w:pPr>
              <w:spacing w:after="0" w:line="240" w:lineRule="auto"/>
              <w:rPr>
                <w:rFonts w:ascii="Arial" w:eastAsia="Times New Roman" w:hAnsi="Arial" w:cs="Arial"/>
                <w:color w:val="FFFFFF"/>
                <w:sz w:val="20"/>
                <w:szCs w:val="20"/>
                <w:lang w:eastAsia="it-IT"/>
              </w:rPr>
            </w:pPr>
            <w:r w:rsidRPr="004D0CF0">
              <w:rPr>
                <w:rFonts w:ascii="Arial" w:eastAsia="Times New Roman" w:hAnsi="Arial" w:cs="Arial"/>
                <w:color w:val="FFFFFF"/>
                <w:sz w:val="20"/>
                <w:szCs w:val="20"/>
                <w:lang w:eastAsia="it-IT"/>
              </w:rPr>
              <w:t> </w:t>
            </w:r>
          </w:p>
        </w:tc>
      </w:tr>
      <w:tr w:rsidR="00C00B30" w:rsidRPr="004D0CF0" w14:paraId="060ACD3A" w14:textId="77777777" w:rsidTr="00C00B30">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24CDF96F" w14:textId="77777777" w:rsidR="00C00B30" w:rsidRPr="00C25998" w:rsidRDefault="00C00B30" w:rsidP="00C00B30">
            <w:pPr>
              <w:spacing w:after="0" w:line="240" w:lineRule="auto"/>
              <w:rPr>
                <w:rFonts w:ascii="Arial" w:eastAsia="Times New Roman" w:hAnsi="Arial" w:cs="Arial"/>
                <w:b/>
                <w:bCs/>
                <w:color w:val="000000"/>
                <w:spacing w:val="-16"/>
                <w:sz w:val="20"/>
                <w:szCs w:val="20"/>
                <w:lang w:eastAsia="it-IT"/>
              </w:rPr>
            </w:pPr>
            <w:r w:rsidRPr="00C25998">
              <w:rPr>
                <w:rFonts w:ascii="Arial" w:eastAsia="Times New Roman" w:hAnsi="Arial" w:cs="Arial"/>
                <w:b/>
                <w:bCs/>
                <w:color w:val="000000"/>
                <w:spacing w:val="-16"/>
                <w:sz w:val="20"/>
                <w:szCs w:val="20"/>
                <w:lang w:eastAsia="it-IT"/>
              </w:rPr>
              <w:t>**Margini**</w:t>
            </w:r>
          </w:p>
        </w:tc>
        <w:tc>
          <w:tcPr>
            <w:tcW w:w="1275" w:type="dxa"/>
            <w:tcBorders>
              <w:top w:val="nil"/>
              <w:left w:val="nil"/>
              <w:bottom w:val="single" w:sz="4" w:space="0" w:color="auto"/>
              <w:right w:val="single" w:sz="4" w:space="0" w:color="auto"/>
            </w:tcBorders>
            <w:shd w:val="clear" w:color="000000" w:fill="D9D9D9"/>
            <w:noWrap/>
            <w:vAlign w:val="center"/>
          </w:tcPr>
          <w:p w14:paraId="0CE6D225" w14:textId="70D6753F" w:rsidR="00C00B30" w:rsidRPr="004D0CF0" w:rsidRDefault="00C00B30" w:rsidP="00C00B30">
            <w:pPr>
              <w:spacing w:after="0" w:line="240" w:lineRule="auto"/>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000000" w:fill="D9D9D9"/>
            <w:noWrap/>
            <w:vAlign w:val="center"/>
          </w:tcPr>
          <w:p w14:paraId="0E189F79" w14:textId="009FF54B" w:rsidR="00C00B30" w:rsidRPr="004D0CF0" w:rsidRDefault="00C00B30" w:rsidP="00C00B3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275" w:type="dxa"/>
            <w:tcBorders>
              <w:top w:val="nil"/>
              <w:left w:val="nil"/>
              <w:bottom w:val="single" w:sz="4" w:space="0" w:color="auto"/>
              <w:right w:val="single" w:sz="4" w:space="0" w:color="auto"/>
            </w:tcBorders>
            <w:shd w:val="clear" w:color="000000" w:fill="D9D9D9"/>
            <w:noWrap/>
            <w:vAlign w:val="center"/>
          </w:tcPr>
          <w:p w14:paraId="61AAAA1D" w14:textId="1391F4DF" w:rsidR="00C00B30" w:rsidRPr="004D0CF0" w:rsidRDefault="00C00B30" w:rsidP="00C00B3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c>
          <w:tcPr>
            <w:tcW w:w="1418" w:type="dxa"/>
            <w:tcBorders>
              <w:top w:val="nil"/>
              <w:left w:val="nil"/>
              <w:bottom w:val="single" w:sz="4" w:space="0" w:color="auto"/>
              <w:right w:val="single" w:sz="4" w:space="0" w:color="auto"/>
            </w:tcBorders>
            <w:shd w:val="clear" w:color="000000" w:fill="D9D9D9"/>
            <w:noWrap/>
            <w:vAlign w:val="center"/>
          </w:tcPr>
          <w:p w14:paraId="6B4D0D79" w14:textId="616BD272" w:rsidR="00C00B30" w:rsidRPr="004D0CF0" w:rsidRDefault="00C00B30" w:rsidP="00C00B30">
            <w:pPr>
              <w:spacing w:after="0" w:line="240" w:lineRule="auto"/>
              <w:rPr>
                <w:rFonts w:ascii="Arial" w:eastAsia="Times New Roman" w:hAnsi="Arial" w:cs="Arial"/>
                <w:color w:val="000000"/>
                <w:sz w:val="20"/>
                <w:szCs w:val="20"/>
                <w:lang w:eastAsia="it-IT"/>
              </w:rPr>
            </w:pPr>
            <w:r w:rsidRPr="004D0CF0">
              <w:rPr>
                <w:rFonts w:ascii="Arial" w:eastAsia="Times New Roman" w:hAnsi="Arial" w:cs="Arial"/>
                <w:color w:val="000000"/>
                <w:sz w:val="20"/>
                <w:szCs w:val="20"/>
                <w:lang w:eastAsia="it-IT"/>
              </w:rPr>
              <w:t> </w:t>
            </w:r>
          </w:p>
        </w:tc>
      </w:tr>
      <w:tr w:rsidR="00C00B30" w:rsidRPr="004D0CF0" w14:paraId="78936580"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676FDDB2"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Margine operativo lordo (MOL)</w:t>
            </w:r>
          </w:p>
        </w:tc>
        <w:tc>
          <w:tcPr>
            <w:tcW w:w="1275" w:type="dxa"/>
            <w:tcBorders>
              <w:top w:val="nil"/>
              <w:left w:val="nil"/>
              <w:bottom w:val="single" w:sz="4" w:space="0" w:color="auto"/>
              <w:right w:val="single" w:sz="4" w:space="0" w:color="auto"/>
            </w:tcBorders>
            <w:shd w:val="clear" w:color="auto" w:fill="auto"/>
            <w:noWrap/>
            <w:vAlign w:val="center"/>
          </w:tcPr>
          <w:p w14:paraId="4998D546" w14:textId="3512D4A0" w:rsidR="00C00B30" w:rsidRPr="004D0CF0" w:rsidRDefault="00C5470C" w:rsidP="00C5470C">
            <w:pPr>
              <w:spacing w:after="0" w:line="240" w:lineRule="auto"/>
              <w:jc w:val="center"/>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66.035</w:t>
            </w:r>
          </w:p>
        </w:tc>
        <w:tc>
          <w:tcPr>
            <w:tcW w:w="1277" w:type="dxa"/>
            <w:tcBorders>
              <w:top w:val="nil"/>
              <w:left w:val="nil"/>
              <w:bottom w:val="single" w:sz="4" w:space="0" w:color="auto"/>
              <w:right w:val="single" w:sz="4" w:space="0" w:color="auto"/>
            </w:tcBorders>
            <w:shd w:val="clear" w:color="auto" w:fill="auto"/>
            <w:noWrap/>
            <w:vAlign w:val="center"/>
          </w:tcPr>
          <w:p w14:paraId="073AAF95" w14:textId="0075570B"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73.655</w:t>
            </w:r>
          </w:p>
        </w:tc>
        <w:tc>
          <w:tcPr>
            <w:tcW w:w="1275" w:type="dxa"/>
            <w:tcBorders>
              <w:top w:val="nil"/>
              <w:left w:val="nil"/>
              <w:bottom w:val="single" w:sz="4" w:space="0" w:color="auto"/>
              <w:right w:val="single" w:sz="4" w:space="0" w:color="auto"/>
            </w:tcBorders>
            <w:shd w:val="clear" w:color="auto" w:fill="auto"/>
            <w:noWrap/>
            <w:vAlign w:val="center"/>
          </w:tcPr>
          <w:p w14:paraId="716E8FBD" w14:textId="3098E0EB"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221.809</w:t>
            </w:r>
          </w:p>
        </w:tc>
        <w:tc>
          <w:tcPr>
            <w:tcW w:w="1418" w:type="dxa"/>
            <w:tcBorders>
              <w:top w:val="nil"/>
              <w:left w:val="nil"/>
              <w:bottom w:val="single" w:sz="4" w:space="0" w:color="auto"/>
              <w:right w:val="single" w:sz="4" w:space="0" w:color="auto"/>
            </w:tcBorders>
            <w:shd w:val="clear" w:color="auto" w:fill="auto"/>
            <w:noWrap/>
            <w:vAlign w:val="center"/>
          </w:tcPr>
          <w:p w14:paraId="398D30BC" w14:textId="73F95962"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237.180</w:t>
            </w:r>
          </w:p>
        </w:tc>
      </w:tr>
      <w:tr w:rsidR="00C00B30" w:rsidRPr="004D0CF0" w14:paraId="4A665F60"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5CD951F7" w14:textId="77777777" w:rsidR="00C00B30"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Risultato operativo (EBIT)</w:t>
            </w:r>
          </w:p>
          <w:p w14:paraId="49A9CB19" w14:textId="77777777" w:rsidR="00C5470C" w:rsidRPr="00C25998" w:rsidRDefault="00C5470C" w:rsidP="00C00B30">
            <w:pPr>
              <w:spacing w:after="0" w:line="240" w:lineRule="auto"/>
              <w:rPr>
                <w:rFonts w:ascii="Arial" w:eastAsia="Times New Roman" w:hAnsi="Arial" w:cs="Arial"/>
                <w:color w:val="000000"/>
                <w:spacing w:val="-16"/>
                <w:sz w:val="20"/>
                <w:szCs w:val="20"/>
                <w:lang w:eastAsia="it-IT"/>
              </w:rPr>
            </w:pPr>
          </w:p>
        </w:tc>
        <w:tc>
          <w:tcPr>
            <w:tcW w:w="1275" w:type="dxa"/>
            <w:tcBorders>
              <w:top w:val="nil"/>
              <w:left w:val="nil"/>
              <w:bottom w:val="single" w:sz="4" w:space="0" w:color="auto"/>
              <w:right w:val="single" w:sz="4" w:space="0" w:color="auto"/>
            </w:tcBorders>
            <w:shd w:val="clear" w:color="auto" w:fill="auto"/>
            <w:noWrap/>
            <w:vAlign w:val="center"/>
          </w:tcPr>
          <w:p w14:paraId="11E151A1" w14:textId="182A548A"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49.091</w:t>
            </w:r>
          </w:p>
        </w:tc>
        <w:tc>
          <w:tcPr>
            <w:tcW w:w="1277" w:type="dxa"/>
            <w:tcBorders>
              <w:top w:val="nil"/>
              <w:left w:val="nil"/>
              <w:bottom w:val="single" w:sz="4" w:space="0" w:color="auto"/>
              <w:right w:val="single" w:sz="4" w:space="0" w:color="auto"/>
            </w:tcBorders>
            <w:shd w:val="clear" w:color="auto" w:fill="auto"/>
            <w:noWrap/>
            <w:vAlign w:val="center"/>
          </w:tcPr>
          <w:p w14:paraId="0C055546" w14:textId="3FE6EAEB"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73.565</w:t>
            </w:r>
          </w:p>
        </w:tc>
        <w:tc>
          <w:tcPr>
            <w:tcW w:w="1275" w:type="dxa"/>
            <w:tcBorders>
              <w:top w:val="nil"/>
              <w:left w:val="nil"/>
              <w:bottom w:val="single" w:sz="4" w:space="0" w:color="auto"/>
              <w:right w:val="single" w:sz="4" w:space="0" w:color="auto"/>
            </w:tcBorders>
            <w:shd w:val="clear" w:color="auto" w:fill="auto"/>
            <w:noWrap/>
            <w:vAlign w:val="center"/>
          </w:tcPr>
          <w:p w14:paraId="43A5125B" w14:textId="18CF013B"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64.040</w:t>
            </w:r>
          </w:p>
        </w:tc>
        <w:tc>
          <w:tcPr>
            <w:tcW w:w="1418" w:type="dxa"/>
            <w:tcBorders>
              <w:top w:val="nil"/>
              <w:left w:val="nil"/>
              <w:bottom w:val="single" w:sz="4" w:space="0" w:color="auto"/>
              <w:right w:val="single" w:sz="4" w:space="0" w:color="auto"/>
            </w:tcBorders>
            <w:shd w:val="clear" w:color="auto" w:fill="auto"/>
            <w:noWrap/>
            <w:vAlign w:val="center"/>
          </w:tcPr>
          <w:p w14:paraId="2EBE022E" w14:textId="586EEF53"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27.650</w:t>
            </w:r>
          </w:p>
        </w:tc>
      </w:tr>
      <w:tr w:rsidR="00C00B30" w:rsidRPr="004D0CF0" w14:paraId="23CF0A11" w14:textId="77777777" w:rsidTr="00275C2B">
        <w:trPr>
          <w:trHeight w:val="276"/>
          <w:jc w:val="center"/>
        </w:trPr>
        <w:tc>
          <w:tcPr>
            <w:tcW w:w="2828" w:type="dxa"/>
            <w:tcBorders>
              <w:top w:val="nil"/>
              <w:left w:val="single" w:sz="4" w:space="0" w:color="auto"/>
              <w:bottom w:val="single" w:sz="4" w:space="0" w:color="auto"/>
              <w:right w:val="single" w:sz="4" w:space="0" w:color="auto"/>
            </w:tcBorders>
            <w:shd w:val="clear" w:color="000000" w:fill="D9D9D9"/>
            <w:noWrap/>
            <w:vAlign w:val="center"/>
            <w:hideMark/>
          </w:tcPr>
          <w:p w14:paraId="5465B659" w14:textId="77777777" w:rsidR="00C00B30" w:rsidRPr="00C25998" w:rsidRDefault="00C00B30" w:rsidP="00C00B30">
            <w:pPr>
              <w:spacing w:after="0" w:line="240" w:lineRule="auto"/>
              <w:rPr>
                <w:rFonts w:ascii="Arial" w:eastAsia="Times New Roman" w:hAnsi="Arial" w:cs="Arial"/>
                <w:b/>
                <w:bCs/>
                <w:color w:val="000000"/>
                <w:spacing w:val="-16"/>
                <w:sz w:val="20"/>
                <w:szCs w:val="20"/>
                <w:lang w:eastAsia="it-IT"/>
              </w:rPr>
            </w:pPr>
            <w:r w:rsidRPr="00C25998">
              <w:rPr>
                <w:rFonts w:ascii="Arial" w:eastAsia="Times New Roman" w:hAnsi="Arial" w:cs="Arial"/>
                <w:b/>
                <w:bCs/>
                <w:color w:val="000000"/>
                <w:spacing w:val="-16"/>
                <w:sz w:val="20"/>
                <w:szCs w:val="20"/>
                <w:lang w:eastAsia="it-IT"/>
              </w:rPr>
              <w:t>**Indici**</w:t>
            </w:r>
          </w:p>
        </w:tc>
        <w:tc>
          <w:tcPr>
            <w:tcW w:w="1275" w:type="dxa"/>
            <w:tcBorders>
              <w:top w:val="nil"/>
              <w:left w:val="nil"/>
              <w:bottom w:val="single" w:sz="4" w:space="0" w:color="auto"/>
              <w:right w:val="single" w:sz="4" w:space="0" w:color="auto"/>
            </w:tcBorders>
            <w:shd w:val="clear" w:color="000000" w:fill="D9D9D9"/>
            <w:noWrap/>
            <w:vAlign w:val="center"/>
          </w:tcPr>
          <w:p w14:paraId="5D115151" w14:textId="77777777" w:rsidR="00C00B30" w:rsidRPr="004D0CF0" w:rsidRDefault="00C00B30" w:rsidP="00C00B30">
            <w:pPr>
              <w:spacing w:after="0" w:line="240" w:lineRule="auto"/>
              <w:rPr>
                <w:rFonts w:ascii="Arial" w:eastAsia="Times New Roman" w:hAnsi="Arial" w:cs="Arial"/>
                <w:color w:val="000000"/>
                <w:sz w:val="20"/>
                <w:szCs w:val="20"/>
                <w:lang w:eastAsia="it-IT"/>
              </w:rPr>
            </w:pPr>
          </w:p>
        </w:tc>
        <w:tc>
          <w:tcPr>
            <w:tcW w:w="1277" w:type="dxa"/>
            <w:tcBorders>
              <w:top w:val="nil"/>
              <w:left w:val="nil"/>
              <w:bottom w:val="single" w:sz="4" w:space="0" w:color="auto"/>
              <w:right w:val="single" w:sz="4" w:space="0" w:color="auto"/>
            </w:tcBorders>
            <w:shd w:val="clear" w:color="000000" w:fill="D9D9D9"/>
            <w:noWrap/>
            <w:vAlign w:val="center"/>
          </w:tcPr>
          <w:p w14:paraId="7C697A39" w14:textId="77777777" w:rsidR="00C00B30" w:rsidRPr="004D0CF0" w:rsidRDefault="00C00B30" w:rsidP="00C00B30">
            <w:pPr>
              <w:spacing w:after="0" w:line="240" w:lineRule="auto"/>
              <w:rPr>
                <w:rFonts w:ascii="Arial" w:eastAsia="Times New Roman" w:hAnsi="Arial" w:cs="Arial"/>
                <w:color w:val="000000"/>
                <w:sz w:val="20"/>
                <w:szCs w:val="20"/>
                <w:lang w:eastAsia="it-IT"/>
              </w:rPr>
            </w:pPr>
          </w:p>
        </w:tc>
        <w:tc>
          <w:tcPr>
            <w:tcW w:w="1275" w:type="dxa"/>
            <w:tcBorders>
              <w:top w:val="nil"/>
              <w:left w:val="nil"/>
              <w:bottom w:val="single" w:sz="4" w:space="0" w:color="auto"/>
              <w:right w:val="single" w:sz="4" w:space="0" w:color="auto"/>
            </w:tcBorders>
            <w:shd w:val="clear" w:color="000000" w:fill="D9D9D9"/>
            <w:noWrap/>
            <w:vAlign w:val="center"/>
          </w:tcPr>
          <w:p w14:paraId="7582C8D3" w14:textId="77777777" w:rsidR="00C00B30" w:rsidRPr="004D0CF0" w:rsidRDefault="00C00B30" w:rsidP="00C00B30">
            <w:pPr>
              <w:spacing w:after="0" w:line="240" w:lineRule="auto"/>
              <w:rPr>
                <w:rFonts w:ascii="Arial" w:eastAsia="Times New Roman" w:hAnsi="Arial" w:cs="Arial"/>
                <w:color w:val="000000"/>
                <w:sz w:val="20"/>
                <w:szCs w:val="20"/>
                <w:lang w:eastAsia="it-IT"/>
              </w:rPr>
            </w:pPr>
          </w:p>
        </w:tc>
        <w:tc>
          <w:tcPr>
            <w:tcW w:w="1418" w:type="dxa"/>
            <w:tcBorders>
              <w:top w:val="nil"/>
              <w:left w:val="nil"/>
              <w:bottom w:val="single" w:sz="4" w:space="0" w:color="auto"/>
              <w:right w:val="single" w:sz="4" w:space="0" w:color="auto"/>
            </w:tcBorders>
            <w:shd w:val="clear" w:color="000000" w:fill="D9D9D9"/>
            <w:noWrap/>
            <w:vAlign w:val="center"/>
          </w:tcPr>
          <w:p w14:paraId="355F4B0D" w14:textId="77777777" w:rsidR="00C00B30" w:rsidRPr="004D0CF0" w:rsidRDefault="00C00B30" w:rsidP="00C00B30">
            <w:pPr>
              <w:spacing w:after="0" w:line="240" w:lineRule="auto"/>
              <w:rPr>
                <w:rFonts w:ascii="Arial" w:eastAsia="Times New Roman" w:hAnsi="Arial" w:cs="Arial"/>
                <w:color w:val="000000"/>
                <w:sz w:val="20"/>
                <w:szCs w:val="20"/>
                <w:lang w:eastAsia="it-IT"/>
              </w:rPr>
            </w:pPr>
          </w:p>
        </w:tc>
      </w:tr>
      <w:tr w:rsidR="00C00B30" w:rsidRPr="004D0CF0" w14:paraId="08A12639"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58C1E792"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Return on Equity (ROE)</w:t>
            </w:r>
          </w:p>
        </w:tc>
        <w:tc>
          <w:tcPr>
            <w:tcW w:w="1275" w:type="dxa"/>
            <w:tcBorders>
              <w:top w:val="nil"/>
              <w:left w:val="nil"/>
              <w:bottom w:val="single" w:sz="4" w:space="0" w:color="auto"/>
              <w:right w:val="single" w:sz="4" w:space="0" w:color="auto"/>
            </w:tcBorders>
            <w:shd w:val="clear" w:color="auto" w:fill="auto"/>
            <w:noWrap/>
            <w:vAlign w:val="center"/>
          </w:tcPr>
          <w:p w14:paraId="21DDAB20" w14:textId="2AF9E383"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37,51%</w:t>
            </w:r>
          </w:p>
        </w:tc>
        <w:tc>
          <w:tcPr>
            <w:tcW w:w="1277" w:type="dxa"/>
            <w:tcBorders>
              <w:top w:val="nil"/>
              <w:left w:val="nil"/>
              <w:bottom w:val="single" w:sz="4" w:space="0" w:color="auto"/>
              <w:right w:val="single" w:sz="4" w:space="0" w:color="auto"/>
            </w:tcBorders>
            <w:shd w:val="clear" w:color="auto" w:fill="auto"/>
            <w:noWrap/>
            <w:vAlign w:val="center"/>
          </w:tcPr>
          <w:p w14:paraId="4FFAB15B" w14:textId="32E03A84"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48,73%</w:t>
            </w:r>
          </w:p>
        </w:tc>
        <w:tc>
          <w:tcPr>
            <w:tcW w:w="1275" w:type="dxa"/>
            <w:tcBorders>
              <w:top w:val="nil"/>
              <w:left w:val="nil"/>
              <w:bottom w:val="single" w:sz="4" w:space="0" w:color="auto"/>
              <w:right w:val="single" w:sz="4" w:space="0" w:color="auto"/>
            </w:tcBorders>
            <w:shd w:val="clear" w:color="auto" w:fill="auto"/>
            <w:noWrap/>
            <w:vAlign w:val="center"/>
          </w:tcPr>
          <w:p w14:paraId="5F72DBE1" w14:textId="5F319AFD"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43,35%</w:t>
            </w:r>
          </w:p>
        </w:tc>
        <w:tc>
          <w:tcPr>
            <w:tcW w:w="1418" w:type="dxa"/>
            <w:tcBorders>
              <w:top w:val="nil"/>
              <w:left w:val="nil"/>
              <w:bottom w:val="single" w:sz="4" w:space="0" w:color="auto"/>
              <w:right w:val="single" w:sz="4" w:space="0" w:color="auto"/>
            </w:tcBorders>
            <w:shd w:val="clear" w:color="auto" w:fill="auto"/>
            <w:noWrap/>
            <w:vAlign w:val="center"/>
          </w:tcPr>
          <w:p w14:paraId="546A2F30" w14:textId="0D13CF3A"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20,40%</w:t>
            </w:r>
          </w:p>
        </w:tc>
      </w:tr>
      <w:tr w:rsidR="00C00B30" w:rsidRPr="004D0CF0" w14:paraId="31A33D8E"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29440DC2"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Return on Investment (ROI)</w:t>
            </w:r>
          </w:p>
        </w:tc>
        <w:tc>
          <w:tcPr>
            <w:tcW w:w="1275" w:type="dxa"/>
            <w:tcBorders>
              <w:top w:val="nil"/>
              <w:left w:val="nil"/>
              <w:bottom w:val="single" w:sz="4" w:space="0" w:color="auto"/>
              <w:right w:val="single" w:sz="4" w:space="0" w:color="auto"/>
            </w:tcBorders>
            <w:shd w:val="clear" w:color="auto" w:fill="auto"/>
            <w:noWrap/>
            <w:vAlign w:val="center"/>
          </w:tcPr>
          <w:p w14:paraId="32D09608" w14:textId="4F99E6F7"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3,86%</w:t>
            </w:r>
          </w:p>
        </w:tc>
        <w:tc>
          <w:tcPr>
            <w:tcW w:w="1277" w:type="dxa"/>
            <w:tcBorders>
              <w:top w:val="nil"/>
              <w:left w:val="nil"/>
              <w:bottom w:val="single" w:sz="4" w:space="0" w:color="auto"/>
              <w:right w:val="single" w:sz="4" w:space="0" w:color="auto"/>
            </w:tcBorders>
            <w:shd w:val="clear" w:color="auto" w:fill="auto"/>
            <w:noWrap/>
            <w:vAlign w:val="center"/>
          </w:tcPr>
          <w:p w14:paraId="0718807C" w14:textId="4C01AC73"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5,72%</w:t>
            </w:r>
          </w:p>
        </w:tc>
        <w:tc>
          <w:tcPr>
            <w:tcW w:w="1275" w:type="dxa"/>
            <w:tcBorders>
              <w:top w:val="nil"/>
              <w:left w:val="nil"/>
              <w:bottom w:val="single" w:sz="4" w:space="0" w:color="auto"/>
              <w:right w:val="single" w:sz="4" w:space="0" w:color="auto"/>
            </w:tcBorders>
            <w:shd w:val="clear" w:color="auto" w:fill="auto"/>
            <w:noWrap/>
            <w:vAlign w:val="center"/>
          </w:tcPr>
          <w:p w14:paraId="5205C4C7" w14:textId="7741A372"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5,27%</w:t>
            </w:r>
          </w:p>
        </w:tc>
        <w:tc>
          <w:tcPr>
            <w:tcW w:w="1418" w:type="dxa"/>
            <w:tcBorders>
              <w:top w:val="nil"/>
              <w:left w:val="nil"/>
              <w:bottom w:val="single" w:sz="4" w:space="0" w:color="auto"/>
              <w:right w:val="single" w:sz="4" w:space="0" w:color="auto"/>
            </w:tcBorders>
            <w:shd w:val="clear" w:color="auto" w:fill="auto"/>
            <w:noWrap/>
            <w:vAlign w:val="center"/>
          </w:tcPr>
          <w:p w14:paraId="425AD4D1" w14:textId="2C284D4B"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2,52%</w:t>
            </w:r>
          </w:p>
        </w:tc>
      </w:tr>
      <w:tr w:rsidR="00C00B30" w:rsidRPr="004D0CF0" w14:paraId="16C2871B" w14:textId="77777777" w:rsidTr="00275C2B">
        <w:trPr>
          <w:trHeight w:val="528"/>
          <w:jc w:val="center"/>
        </w:trPr>
        <w:tc>
          <w:tcPr>
            <w:tcW w:w="2828" w:type="dxa"/>
            <w:tcBorders>
              <w:top w:val="nil"/>
              <w:left w:val="single" w:sz="4" w:space="0" w:color="auto"/>
              <w:bottom w:val="single" w:sz="4" w:space="0" w:color="auto"/>
              <w:right w:val="single" w:sz="4" w:space="0" w:color="auto"/>
            </w:tcBorders>
            <w:shd w:val="clear" w:color="auto" w:fill="auto"/>
            <w:noWrap/>
            <w:vAlign w:val="center"/>
            <w:hideMark/>
          </w:tcPr>
          <w:p w14:paraId="5E7D2C14" w14:textId="77777777" w:rsidR="00C00B30" w:rsidRPr="00C25998" w:rsidRDefault="00C00B30" w:rsidP="00C00B30">
            <w:pPr>
              <w:spacing w:after="0" w:line="240" w:lineRule="auto"/>
              <w:rPr>
                <w:rFonts w:ascii="Arial" w:eastAsia="Times New Roman" w:hAnsi="Arial" w:cs="Arial"/>
                <w:color w:val="000000"/>
                <w:spacing w:val="-16"/>
                <w:sz w:val="20"/>
                <w:szCs w:val="20"/>
                <w:lang w:eastAsia="it-IT"/>
              </w:rPr>
            </w:pPr>
            <w:r w:rsidRPr="00C25998">
              <w:rPr>
                <w:rFonts w:ascii="Arial" w:eastAsia="Times New Roman" w:hAnsi="Arial" w:cs="Arial"/>
                <w:color w:val="000000"/>
                <w:spacing w:val="-16"/>
                <w:sz w:val="20"/>
                <w:szCs w:val="20"/>
                <w:lang w:eastAsia="it-IT"/>
              </w:rPr>
              <w:t>Return on sales (ROS)</w:t>
            </w:r>
          </w:p>
        </w:tc>
        <w:tc>
          <w:tcPr>
            <w:tcW w:w="1275" w:type="dxa"/>
            <w:tcBorders>
              <w:top w:val="nil"/>
              <w:left w:val="nil"/>
              <w:bottom w:val="single" w:sz="4" w:space="0" w:color="auto"/>
              <w:right w:val="single" w:sz="4" w:space="0" w:color="auto"/>
            </w:tcBorders>
            <w:shd w:val="clear" w:color="auto" w:fill="auto"/>
            <w:noWrap/>
            <w:vAlign w:val="center"/>
          </w:tcPr>
          <w:p w14:paraId="0310DDA7" w14:textId="5E3E6B6B" w:rsidR="00C00B30" w:rsidRPr="004D0CF0" w:rsidRDefault="00C5470C"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4,79%</w:t>
            </w:r>
          </w:p>
        </w:tc>
        <w:tc>
          <w:tcPr>
            <w:tcW w:w="1277" w:type="dxa"/>
            <w:tcBorders>
              <w:top w:val="nil"/>
              <w:left w:val="nil"/>
              <w:bottom w:val="single" w:sz="4" w:space="0" w:color="auto"/>
              <w:right w:val="single" w:sz="4" w:space="0" w:color="auto"/>
            </w:tcBorders>
            <w:shd w:val="clear" w:color="auto" w:fill="auto"/>
            <w:noWrap/>
            <w:vAlign w:val="center"/>
          </w:tcPr>
          <w:p w14:paraId="3913EFBD" w14:textId="2129F9E9"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7,43%</w:t>
            </w:r>
          </w:p>
        </w:tc>
        <w:tc>
          <w:tcPr>
            <w:tcW w:w="1275" w:type="dxa"/>
            <w:tcBorders>
              <w:top w:val="nil"/>
              <w:left w:val="nil"/>
              <w:bottom w:val="single" w:sz="4" w:space="0" w:color="auto"/>
              <w:right w:val="single" w:sz="4" w:space="0" w:color="auto"/>
            </w:tcBorders>
            <w:shd w:val="clear" w:color="auto" w:fill="auto"/>
            <w:noWrap/>
            <w:vAlign w:val="center"/>
          </w:tcPr>
          <w:p w14:paraId="4CE0F59C" w14:textId="626513F1"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6,45%</w:t>
            </w:r>
          </w:p>
        </w:tc>
        <w:tc>
          <w:tcPr>
            <w:tcW w:w="1418" w:type="dxa"/>
            <w:tcBorders>
              <w:top w:val="nil"/>
              <w:left w:val="nil"/>
              <w:bottom w:val="single" w:sz="4" w:space="0" w:color="auto"/>
              <w:right w:val="single" w:sz="4" w:space="0" w:color="auto"/>
            </w:tcBorders>
            <w:shd w:val="clear" w:color="auto" w:fill="auto"/>
            <w:noWrap/>
            <w:vAlign w:val="center"/>
          </w:tcPr>
          <w:p w14:paraId="6D3B4B3E" w14:textId="5ABAFC82" w:rsidR="00C00B30" w:rsidRPr="004D0CF0" w:rsidRDefault="00C00B30" w:rsidP="00C00B30">
            <w:pPr>
              <w:spacing w:after="0" w:line="240" w:lineRule="auto"/>
              <w:jc w:val="right"/>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2,74%</w:t>
            </w:r>
          </w:p>
        </w:tc>
      </w:tr>
    </w:tbl>
    <w:p w14:paraId="16E2C841" w14:textId="77777777" w:rsidR="004B04A5" w:rsidRDefault="004B04A5" w:rsidP="004D0CF0">
      <w:pPr>
        <w:spacing w:after="0" w:line="240" w:lineRule="auto"/>
        <w:jc w:val="both"/>
        <w:rPr>
          <w:rFonts w:ascii="Garamond" w:eastAsia="MS Mincho" w:hAnsi="Garamond" w:cs="Times New Roman"/>
          <w:b/>
          <w:sz w:val="24"/>
          <w:szCs w:val="24"/>
          <w:lang w:eastAsia="it-IT"/>
        </w:rPr>
      </w:pPr>
      <w:r>
        <w:rPr>
          <w:rFonts w:ascii="Garamond" w:eastAsia="MS Mincho" w:hAnsi="Garamond" w:cs="Times New Roman"/>
          <w:b/>
          <w:sz w:val="24"/>
          <w:szCs w:val="24"/>
          <w:lang w:eastAsia="it-IT"/>
        </w:rPr>
        <w:br w:type="page"/>
      </w:r>
    </w:p>
    <w:p w14:paraId="37497516" w14:textId="4FE17217" w:rsidR="004D0CF0" w:rsidRPr="004D0CF0" w:rsidRDefault="004D0CF0" w:rsidP="004D0CF0">
      <w:pPr>
        <w:spacing w:after="0" w:line="240" w:lineRule="auto"/>
        <w:jc w:val="both"/>
        <w:rPr>
          <w:rFonts w:ascii="Garamond" w:eastAsia="MS Mincho" w:hAnsi="Garamond" w:cs="Times New Roman"/>
          <w:b/>
          <w:sz w:val="24"/>
          <w:szCs w:val="24"/>
          <w:lang w:eastAsia="it-IT"/>
        </w:rPr>
      </w:pPr>
      <w:r w:rsidRPr="004D0CF0">
        <w:rPr>
          <w:rFonts w:ascii="Garamond" w:eastAsia="MS Mincho" w:hAnsi="Garamond" w:cs="Times New Roman"/>
          <w:b/>
          <w:sz w:val="24"/>
          <w:szCs w:val="24"/>
          <w:lang w:eastAsia="it-IT"/>
        </w:rPr>
        <w:lastRenderedPageBreak/>
        <w:t>6.1.2.</w:t>
      </w:r>
      <w:r w:rsidRPr="004D0CF0">
        <w:rPr>
          <w:rFonts w:ascii="Garamond" w:eastAsia="MS Mincho" w:hAnsi="Garamond" w:cs="Times New Roman"/>
          <w:b/>
          <w:sz w:val="24"/>
          <w:szCs w:val="24"/>
          <w:lang w:eastAsia="it-IT"/>
        </w:rPr>
        <w:tab/>
        <w:t>Valutazione dei risultati.</w:t>
      </w:r>
    </w:p>
    <w:p w14:paraId="181D9035" w14:textId="77777777" w:rsidR="004D0CF0" w:rsidRPr="004D0CF0" w:rsidRDefault="004D0CF0" w:rsidP="004D0CF0">
      <w:pPr>
        <w:spacing w:after="0" w:line="240" w:lineRule="auto"/>
        <w:jc w:val="both"/>
        <w:rPr>
          <w:rFonts w:ascii="Garamond" w:eastAsia="MS Mincho" w:hAnsi="Garamond" w:cs="Times New Roman"/>
          <w:b/>
          <w:sz w:val="24"/>
          <w:szCs w:val="24"/>
          <w:lang w:eastAsia="it-IT"/>
        </w:rPr>
      </w:pPr>
    </w:p>
    <w:p w14:paraId="500BB0F1" w14:textId="429EDDA9" w:rsidR="00900042" w:rsidRPr="00923DA3" w:rsidRDefault="00900042" w:rsidP="004D0CF0">
      <w:pPr>
        <w:spacing w:after="0" w:line="240" w:lineRule="auto"/>
        <w:jc w:val="both"/>
        <w:rPr>
          <w:rFonts w:ascii="Garamond" w:eastAsia="MS Mincho" w:hAnsi="Garamond" w:cs="Times New Roman"/>
          <w:b/>
          <w:bCs/>
          <w:iCs/>
          <w:color w:val="000000" w:themeColor="text1"/>
          <w:sz w:val="24"/>
          <w:szCs w:val="24"/>
          <w:lang w:eastAsia="it-IT"/>
        </w:rPr>
      </w:pPr>
      <w:r w:rsidRPr="00923DA3">
        <w:rPr>
          <w:rFonts w:ascii="Garamond" w:eastAsia="MS Mincho" w:hAnsi="Garamond" w:cs="Times New Roman"/>
          <w:b/>
          <w:bCs/>
          <w:iCs/>
          <w:color w:val="000000" w:themeColor="text1"/>
          <w:sz w:val="24"/>
          <w:szCs w:val="24"/>
          <w:lang w:eastAsia="it-IT"/>
        </w:rPr>
        <w:t>Stato Patrimoniale – Margini e indici</w:t>
      </w:r>
    </w:p>
    <w:p w14:paraId="0E7B2D29" w14:textId="4B70BC75" w:rsidR="00900042" w:rsidRDefault="00900042" w:rsidP="004D0CF0">
      <w:pPr>
        <w:spacing w:after="0" w:line="240" w:lineRule="auto"/>
        <w:jc w:val="both"/>
        <w:rPr>
          <w:rFonts w:ascii="Garamond" w:eastAsia="MS Mincho" w:hAnsi="Garamond" w:cs="Times New Roman"/>
          <w:iCs/>
          <w:color w:val="000000" w:themeColor="text1"/>
          <w:sz w:val="24"/>
          <w:szCs w:val="24"/>
          <w:lang w:eastAsia="it-IT"/>
        </w:rPr>
      </w:pPr>
      <w:r w:rsidRPr="00900042">
        <w:rPr>
          <w:rFonts w:ascii="Garamond" w:eastAsia="MS Mincho" w:hAnsi="Garamond" w:cs="Times New Roman"/>
          <w:iCs/>
          <w:color w:val="000000" w:themeColor="text1"/>
          <w:sz w:val="24"/>
          <w:szCs w:val="24"/>
          <w:lang w:eastAsia="it-IT"/>
        </w:rPr>
        <w:t>I margini e gli indici patrimoniali</w:t>
      </w:r>
      <w:r>
        <w:rPr>
          <w:rFonts w:ascii="Garamond" w:eastAsia="MS Mincho" w:hAnsi="Garamond" w:cs="Times New Roman"/>
          <w:iCs/>
          <w:color w:val="000000" w:themeColor="text1"/>
          <w:sz w:val="24"/>
          <w:szCs w:val="24"/>
          <w:lang w:eastAsia="it-IT"/>
        </w:rPr>
        <w:t xml:space="preserve"> </w:t>
      </w:r>
      <w:r w:rsidR="00E32D3B">
        <w:rPr>
          <w:rFonts w:ascii="Garamond" w:eastAsia="MS Mincho" w:hAnsi="Garamond" w:cs="Times New Roman"/>
          <w:iCs/>
          <w:color w:val="000000" w:themeColor="text1"/>
          <w:sz w:val="24"/>
          <w:szCs w:val="24"/>
          <w:lang w:eastAsia="it-IT"/>
        </w:rPr>
        <w:t xml:space="preserve">calcolati sui </w:t>
      </w:r>
      <w:r>
        <w:rPr>
          <w:rFonts w:ascii="Garamond" w:eastAsia="MS Mincho" w:hAnsi="Garamond" w:cs="Times New Roman"/>
          <w:iCs/>
          <w:color w:val="000000" w:themeColor="text1"/>
          <w:sz w:val="24"/>
          <w:szCs w:val="24"/>
          <w:lang w:eastAsia="it-IT"/>
        </w:rPr>
        <w:t>bilanci</w:t>
      </w:r>
      <w:r w:rsidR="00E32D3B">
        <w:rPr>
          <w:rFonts w:ascii="Garamond" w:eastAsia="MS Mincho" w:hAnsi="Garamond" w:cs="Times New Roman"/>
          <w:iCs/>
          <w:color w:val="000000" w:themeColor="text1"/>
          <w:sz w:val="24"/>
          <w:szCs w:val="24"/>
          <w:lang w:eastAsia="it-IT"/>
        </w:rPr>
        <w:t xml:space="preserve"> de</w:t>
      </w:r>
      <w:r>
        <w:rPr>
          <w:rFonts w:ascii="Garamond" w:eastAsia="MS Mincho" w:hAnsi="Garamond" w:cs="Times New Roman"/>
          <w:iCs/>
          <w:color w:val="000000" w:themeColor="text1"/>
          <w:sz w:val="24"/>
          <w:szCs w:val="24"/>
          <w:lang w:eastAsia="it-IT"/>
        </w:rPr>
        <w:t>ll’esercizio corrente</w:t>
      </w:r>
      <w:r w:rsidR="00702E9B">
        <w:rPr>
          <w:rFonts w:ascii="Garamond" w:eastAsia="MS Mincho" w:hAnsi="Garamond" w:cs="Times New Roman"/>
          <w:iCs/>
          <w:color w:val="000000" w:themeColor="text1"/>
          <w:sz w:val="24"/>
          <w:szCs w:val="24"/>
          <w:lang w:eastAsia="it-IT"/>
        </w:rPr>
        <w:t xml:space="preserve"> e</w:t>
      </w:r>
      <w:r w:rsidR="00E32D3B">
        <w:rPr>
          <w:rFonts w:ascii="Garamond" w:eastAsia="MS Mincho" w:hAnsi="Garamond" w:cs="Times New Roman"/>
          <w:iCs/>
          <w:color w:val="000000" w:themeColor="text1"/>
          <w:sz w:val="24"/>
          <w:szCs w:val="24"/>
          <w:lang w:eastAsia="it-IT"/>
        </w:rPr>
        <w:t xml:space="preserve"> dei</w:t>
      </w:r>
      <w:r w:rsidR="00702E9B">
        <w:rPr>
          <w:rFonts w:ascii="Garamond" w:eastAsia="MS Mincho" w:hAnsi="Garamond" w:cs="Times New Roman"/>
          <w:iCs/>
          <w:color w:val="000000" w:themeColor="text1"/>
          <w:sz w:val="24"/>
          <w:szCs w:val="24"/>
          <w:lang w:eastAsia="it-IT"/>
        </w:rPr>
        <w:t xml:space="preserve"> </w:t>
      </w:r>
      <w:r w:rsidR="00E32D3B">
        <w:rPr>
          <w:rFonts w:ascii="Garamond" w:eastAsia="MS Mincho" w:hAnsi="Garamond" w:cs="Times New Roman"/>
          <w:iCs/>
          <w:color w:val="000000" w:themeColor="text1"/>
          <w:sz w:val="24"/>
          <w:szCs w:val="24"/>
          <w:lang w:eastAsia="it-IT"/>
        </w:rPr>
        <w:t xml:space="preserve">tre </w:t>
      </w:r>
      <w:r w:rsidR="00702E9B">
        <w:rPr>
          <w:rFonts w:ascii="Garamond" w:eastAsia="MS Mincho" w:hAnsi="Garamond" w:cs="Times New Roman"/>
          <w:iCs/>
          <w:color w:val="000000" w:themeColor="text1"/>
          <w:sz w:val="24"/>
          <w:szCs w:val="24"/>
          <w:lang w:eastAsia="it-IT"/>
        </w:rPr>
        <w:t xml:space="preserve">precedenti </w:t>
      </w:r>
      <w:r>
        <w:rPr>
          <w:rFonts w:ascii="Garamond" w:eastAsia="MS Mincho" w:hAnsi="Garamond" w:cs="Times New Roman"/>
          <w:iCs/>
          <w:color w:val="000000" w:themeColor="text1"/>
          <w:sz w:val="24"/>
          <w:szCs w:val="24"/>
          <w:lang w:eastAsia="it-IT"/>
        </w:rPr>
        <w:t xml:space="preserve">evidenziano </w:t>
      </w:r>
      <w:r w:rsidR="00923DA3">
        <w:rPr>
          <w:rFonts w:ascii="Garamond" w:eastAsia="MS Mincho" w:hAnsi="Garamond" w:cs="Times New Roman"/>
          <w:iCs/>
          <w:color w:val="000000" w:themeColor="text1"/>
          <w:sz w:val="24"/>
          <w:szCs w:val="24"/>
          <w:lang w:eastAsia="it-IT"/>
        </w:rPr>
        <w:t>parametri</w:t>
      </w:r>
      <w:r w:rsidR="00A87EB1" w:rsidRPr="00A87EB1">
        <w:rPr>
          <w:rFonts w:ascii="Garamond" w:eastAsia="MS Mincho" w:hAnsi="Garamond" w:cs="Times New Roman"/>
          <w:iCs/>
          <w:color w:val="000000" w:themeColor="text1"/>
          <w:sz w:val="24"/>
          <w:szCs w:val="24"/>
          <w:lang w:eastAsia="it-IT"/>
        </w:rPr>
        <w:t xml:space="preserve"> </w:t>
      </w:r>
      <w:r w:rsidR="00A87EB1">
        <w:rPr>
          <w:rFonts w:ascii="Garamond" w:eastAsia="MS Mincho" w:hAnsi="Garamond" w:cs="Times New Roman"/>
          <w:iCs/>
          <w:color w:val="000000" w:themeColor="text1"/>
          <w:sz w:val="24"/>
          <w:szCs w:val="24"/>
          <w:lang w:eastAsia="it-IT"/>
        </w:rPr>
        <w:t>sostanzialmente adeguati</w:t>
      </w:r>
      <w:r w:rsidR="00923DA3">
        <w:rPr>
          <w:rFonts w:ascii="Garamond" w:eastAsia="MS Mincho" w:hAnsi="Garamond" w:cs="Times New Roman"/>
          <w:iCs/>
          <w:color w:val="000000" w:themeColor="text1"/>
          <w:sz w:val="24"/>
          <w:szCs w:val="24"/>
          <w:lang w:eastAsia="it-IT"/>
        </w:rPr>
        <w:t>, infatti:</w:t>
      </w:r>
    </w:p>
    <w:p w14:paraId="10185642" w14:textId="6D2EE2B4" w:rsidR="00923DA3" w:rsidRDefault="00045863" w:rsidP="00923DA3">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Pr>
          <w:rFonts w:ascii="Garamond" w:eastAsia="MS Mincho" w:hAnsi="Garamond" w:cs="Times New Roman"/>
          <w:iCs/>
          <w:color w:val="000000" w:themeColor="text1"/>
          <w:sz w:val="24"/>
          <w:szCs w:val="24"/>
          <w:lang w:eastAsia="it-IT"/>
        </w:rPr>
        <w:t>Il</w:t>
      </w:r>
      <w:r w:rsidR="00923DA3" w:rsidRPr="00923DA3">
        <w:rPr>
          <w:rFonts w:ascii="Garamond" w:eastAsia="MS Mincho" w:hAnsi="Garamond" w:cs="Times New Roman"/>
          <w:iCs/>
          <w:color w:val="000000" w:themeColor="text1"/>
          <w:sz w:val="24"/>
          <w:szCs w:val="24"/>
          <w:lang w:eastAsia="it-IT"/>
        </w:rPr>
        <w:t xml:space="preserve"> </w:t>
      </w:r>
      <w:r w:rsidR="00923DA3" w:rsidRPr="008D14AC">
        <w:rPr>
          <w:rFonts w:ascii="Garamond" w:eastAsia="MS Mincho" w:hAnsi="Garamond" w:cs="Times New Roman"/>
          <w:b/>
          <w:bCs/>
          <w:i/>
          <w:color w:val="000000" w:themeColor="text1"/>
          <w:sz w:val="24"/>
          <w:szCs w:val="24"/>
          <w:lang w:eastAsia="it-IT"/>
        </w:rPr>
        <w:t>margine di tesoreria</w:t>
      </w:r>
      <w:r w:rsidR="00923DA3" w:rsidRPr="00923DA3">
        <w:rPr>
          <w:rFonts w:ascii="Garamond" w:eastAsia="MS Mincho" w:hAnsi="Garamond" w:cs="Times New Roman"/>
          <w:iCs/>
          <w:color w:val="000000" w:themeColor="text1"/>
          <w:sz w:val="24"/>
          <w:szCs w:val="24"/>
          <w:lang w:eastAsia="it-IT"/>
        </w:rPr>
        <w:t xml:space="preserve"> e</w:t>
      </w:r>
      <w:r w:rsidR="00923DA3">
        <w:rPr>
          <w:rFonts w:ascii="Garamond" w:eastAsia="MS Mincho" w:hAnsi="Garamond" w:cs="Times New Roman"/>
          <w:iCs/>
          <w:color w:val="000000" w:themeColor="text1"/>
          <w:sz w:val="24"/>
          <w:szCs w:val="24"/>
          <w:lang w:eastAsia="it-IT"/>
        </w:rPr>
        <w:t xml:space="preserve">d il </w:t>
      </w:r>
      <w:r w:rsidR="00923DA3" w:rsidRPr="008D14AC">
        <w:rPr>
          <w:rFonts w:ascii="Garamond" w:eastAsia="MS Mincho" w:hAnsi="Garamond" w:cs="Times New Roman"/>
          <w:b/>
          <w:bCs/>
          <w:i/>
          <w:color w:val="000000" w:themeColor="text1"/>
          <w:sz w:val="24"/>
          <w:szCs w:val="24"/>
          <w:lang w:eastAsia="it-IT"/>
        </w:rPr>
        <w:t>margine di disponibilità</w:t>
      </w:r>
      <w:r w:rsidR="00992CD9">
        <w:rPr>
          <w:rFonts w:ascii="Garamond" w:eastAsia="MS Mincho" w:hAnsi="Garamond" w:cs="Times New Roman"/>
          <w:iCs/>
          <w:color w:val="000000" w:themeColor="text1"/>
          <w:sz w:val="24"/>
          <w:szCs w:val="24"/>
          <w:lang w:eastAsia="it-IT"/>
        </w:rPr>
        <w:t>, i quali rappresentano entrambi</w:t>
      </w:r>
      <w:r w:rsidR="00992CD9">
        <w:rPr>
          <w:rStyle w:val="Rimandonotaapidipagina"/>
          <w:rFonts w:ascii="Garamond" w:eastAsia="MS Mincho" w:hAnsi="Garamond" w:cs="Times New Roman"/>
          <w:iCs/>
          <w:color w:val="000000" w:themeColor="text1"/>
          <w:sz w:val="24"/>
          <w:szCs w:val="24"/>
          <w:lang w:eastAsia="it-IT"/>
        </w:rPr>
        <w:footnoteReference w:id="1"/>
      </w:r>
      <w:r w:rsidR="00992CD9">
        <w:rPr>
          <w:rFonts w:ascii="Garamond" w:eastAsia="MS Mincho" w:hAnsi="Garamond" w:cs="Times New Roman"/>
          <w:iCs/>
          <w:color w:val="000000" w:themeColor="text1"/>
          <w:sz w:val="24"/>
          <w:szCs w:val="24"/>
          <w:lang w:eastAsia="it-IT"/>
        </w:rPr>
        <w:t xml:space="preserve"> la capacità espressa in valori assoluti di far fronte ai debiti di breve periodo mediante le risorse attive, anch’esse di breve periodo</w:t>
      </w:r>
      <w:r w:rsidR="00702E9B">
        <w:rPr>
          <w:rFonts w:ascii="Garamond" w:eastAsia="MS Mincho" w:hAnsi="Garamond" w:cs="Times New Roman"/>
          <w:iCs/>
          <w:color w:val="000000" w:themeColor="text1"/>
          <w:sz w:val="24"/>
          <w:szCs w:val="24"/>
          <w:lang w:eastAsia="it-IT"/>
        </w:rPr>
        <w:t>,</w:t>
      </w:r>
      <w:r w:rsidR="00992CD9">
        <w:rPr>
          <w:rFonts w:ascii="Garamond" w:eastAsia="MS Mincho" w:hAnsi="Garamond" w:cs="Times New Roman"/>
          <w:iCs/>
          <w:color w:val="000000" w:themeColor="text1"/>
          <w:sz w:val="24"/>
          <w:szCs w:val="24"/>
          <w:lang w:eastAsia="it-IT"/>
        </w:rPr>
        <w:t xml:space="preserve"> </w:t>
      </w:r>
      <w:r w:rsidR="00923DA3" w:rsidRPr="00702E9B">
        <w:rPr>
          <w:rFonts w:ascii="Garamond" w:eastAsia="MS Mincho" w:hAnsi="Garamond" w:cs="Times New Roman"/>
          <w:iCs/>
          <w:color w:val="000000" w:themeColor="text1"/>
          <w:sz w:val="24"/>
          <w:szCs w:val="24"/>
          <w:lang w:eastAsia="it-IT"/>
        </w:rPr>
        <w:t>sono costantemente positivi nel periodo analizzato</w:t>
      </w:r>
      <w:r w:rsidR="005A7E0B">
        <w:rPr>
          <w:rFonts w:ascii="Garamond" w:eastAsia="MS Mincho" w:hAnsi="Garamond" w:cs="Times New Roman"/>
          <w:iCs/>
          <w:color w:val="000000" w:themeColor="text1"/>
          <w:sz w:val="24"/>
          <w:szCs w:val="24"/>
          <w:lang w:eastAsia="it-IT"/>
        </w:rPr>
        <w:t xml:space="preserve"> e pari a € </w:t>
      </w:r>
      <w:r w:rsidR="00CA540F">
        <w:rPr>
          <w:rFonts w:ascii="Garamond" w:eastAsia="MS Mincho" w:hAnsi="Garamond" w:cs="Times New Roman"/>
          <w:iCs/>
          <w:color w:val="000000" w:themeColor="text1"/>
          <w:sz w:val="24"/>
          <w:szCs w:val="24"/>
          <w:lang w:eastAsia="it-IT"/>
        </w:rPr>
        <w:t>750.466</w:t>
      </w:r>
      <w:r w:rsidR="005A7E0B">
        <w:rPr>
          <w:rFonts w:ascii="Garamond" w:eastAsia="MS Mincho" w:hAnsi="Garamond" w:cs="Times New Roman"/>
          <w:iCs/>
          <w:color w:val="000000" w:themeColor="text1"/>
          <w:sz w:val="24"/>
          <w:szCs w:val="24"/>
          <w:lang w:eastAsia="it-IT"/>
        </w:rPr>
        <w:t xml:space="preserve"> nell’esercizio </w:t>
      </w:r>
      <w:r w:rsidR="00AE08C9">
        <w:rPr>
          <w:rFonts w:ascii="Garamond" w:eastAsia="MS Mincho" w:hAnsi="Garamond" w:cs="Times New Roman"/>
          <w:iCs/>
          <w:color w:val="000000" w:themeColor="text1"/>
          <w:sz w:val="24"/>
          <w:szCs w:val="24"/>
          <w:lang w:eastAsia="it-IT"/>
        </w:rPr>
        <w:t>2024;</w:t>
      </w:r>
      <w:r w:rsidR="005A7E0B">
        <w:rPr>
          <w:rFonts w:ascii="Garamond" w:eastAsia="MS Mincho" w:hAnsi="Garamond" w:cs="Times New Roman"/>
          <w:iCs/>
          <w:color w:val="000000" w:themeColor="text1"/>
          <w:sz w:val="24"/>
          <w:szCs w:val="24"/>
          <w:lang w:eastAsia="it-IT"/>
        </w:rPr>
        <w:t xml:space="preserve"> detti parametri risultano</w:t>
      </w:r>
      <w:r w:rsidR="00923DA3">
        <w:rPr>
          <w:rFonts w:ascii="Garamond" w:eastAsia="MS Mincho" w:hAnsi="Garamond" w:cs="Times New Roman"/>
          <w:iCs/>
          <w:color w:val="000000" w:themeColor="text1"/>
          <w:sz w:val="24"/>
          <w:szCs w:val="24"/>
          <w:lang w:eastAsia="it-IT"/>
        </w:rPr>
        <w:t xml:space="preserve"> </w:t>
      </w:r>
      <w:r w:rsidR="005A7E0B">
        <w:rPr>
          <w:rFonts w:ascii="Garamond" w:eastAsia="MS Mincho" w:hAnsi="Garamond" w:cs="Times New Roman"/>
          <w:iCs/>
          <w:color w:val="000000" w:themeColor="text1"/>
          <w:sz w:val="24"/>
          <w:szCs w:val="24"/>
          <w:lang w:eastAsia="it-IT"/>
        </w:rPr>
        <w:t xml:space="preserve">peraltro </w:t>
      </w:r>
      <w:r w:rsidR="00CA540F">
        <w:rPr>
          <w:rFonts w:ascii="Garamond" w:eastAsia="MS Mincho" w:hAnsi="Garamond" w:cs="Times New Roman"/>
          <w:iCs/>
          <w:color w:val="000000" w:themeColor="text1"/>
          <w:sz w:val="24"/>
          <w:szCs w:val="24"/>
          <w:lang w:eastAsia="it-IT"/>
        </w:rPr>
        <w:t>costanti</w:t>
      </w:r>
      <w:r w:rsidR="004D2B95">
        <w:rPr>
          <w:rFonts w:ascii="Garamond" w:eastAsia="MS Mincho" w:hAnsi="Garamond" w:cs="Times New Roman"/>
          <w:iCs/>
          <w:color w:val="000000" w:themeColor="text1"/>
          <w:sz w:val="24"/>
          <w:szCs w:val="24"/>
          <w:lang w:eastAsia="it-IT"/>
        </w:rPr>
        <w:t xml:space="preserve"> negli anni analizzati</w:t>
      </w:r>
      <w:r w:rsidR="00702E9B">
        <w:rPr>
          <w:rFonts w:ascii="Garamond" w:eastAsia="MS Mincho" w:hAnsi="Garamond" w:cs="Times New Roman"/>
          <w:iCs/>
          <w:color w:val="000000" w:themeColor="text1"/>
          <w:sz w:val="24"/>
          <w:szCs w:val="24"/>
          <w:lang w:eastAsia="it-IT"/>
        </w:rPr>
        <w:t>;</w:t>
      </w:r>
    </w:p>
    <w:p w14:paraId="1DDB10F2" w14:textId="7B347304" w:rsidR="00923DA3" w:rsidRPr="005A7E0B" w:rsidRDefault="00045863" w:rsidP="00005B13">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sidRPr="005A7E0B">
        <w:rPr>
          <w:rFonts w:ascii="Garamond" w:eastAsia="MS Mincho" w:hAnsi="Garamond" w:cs="Times New Roman"/>
          <w:iCs/>
          <w:color w:val="000000" w:themeColor="text1"/>
          <w:sz w:val="24"/>
          <w:szCs w:val="24"/>
          <w:lang w:eastAsia="it-IT"/>
        </w:rPr>
        <w:t>Il</w:t>
      </w:r>
      <w:r w:rsidR="00923DA3" w:rsidRPr="005A7E0B">
        <w:rPr>
          <w:rFonts w:ascii="Garamond" w:eastAsia="MS Mincho" w:hAnsi="Garamond" w:cs="Times New Roman"/>
          <w:iCs/>
          <w:color w:val="000000" w:themeColor="text1"/>
          <w:sz w:val="24"/>
          <w:szCs w:val="24"/>
          <w:lang w:eastAsia="it-IT"/>
        </w:rPr>
        <w:t xml:space="preserve"> </w:t>
      </w:r>
      <w:r w:rsidR="00923DA3" w:rsidRPr="008D14AC">
        <w:rPr>
          <w:rFonts w:ascii="Garamond" w:eastAsia="MS Mincho" w:hAnsi="Garamond" w:cs="Times New Roman"/>
          <w:b/>
          <w:bCs/>
          <w:i/>
          <w:color w:val="000000" w:themeColor="text1"/>
          <w:sz w:val="24"/>
          <w:szCs w:val="24"/>
          <w:lang w:eastAsia="it-IT"/>
        </w:rPr>
        <w:t>margine di struttura</w:t>
      </w:r>
      <w:r w:rsidR="005A7E0B" w:rsidRPr="005A7E0B">
        <w:rPr>
          <w:rFonts w:ascii="Garamond" w:eastAsia="MS Mincho" w:hAnsi="Garamond" w:cs="Times New Roman"/>
          <w:iCs/>
          <w:color w:val="000000" w:themeColor="text1"/>
          <w:sz w:val="24"/>
          <w:szCs w:val="24"/>
          <w:lang w:eastAsia="it-IT"/>
        </w:rPr>
        <w:t>,</w:t>
      </w:r>
      <w:r w:rsidR="00992CD9" w:rsidRPr="005A7E0B">
        <w:rPr>
          <w:rFonts w:ascii="Garamond" w:eastAsia="MS Mincho" w:hAnsi="Garamond" w:cs="Times New Roman"/>
          <w:iCs/>
          <w:color w:val="000000" w:themeColor="text1"/>
          <w:sz w:val="24"/>
          <w:szCs w:val="24"/>
          <w:lang w:eastAsia="it-IT"/>
        </w:rPr>
        <w:t xml:space="preserve"> </w:t>
      </w:r>
      <w:r w:rsidR="005A7E0B" w:rsidRPr="005A7E0B">
        <w:rPr>
          <w:rFonts w:ascii="Garamond" w:eastAsia="MS Mincho" w:hAnsi="Garamond" w:cs="Times New Roman"/>
          <w:iCs/>
          <w:color w:val="000000" w:themeColor="text1"/>
          <w:sz w:val="24"/>
          <w:szCs w:val="24"/>
          <w:lang w:eastAsia="it-IT"/>
        </w:rPr>
        <w:t xml:space="preserve">che </w:t>
      </w:r>
      <w:r w:rsidR="00992CD9" w:rsidRPr="005A7E0B">
        <w:rPr>
          <w:rFonts w:ascii="Garamond" w:eastAsia="MS Mincho" w:hAnsi="Garamond" w:cs="Times New Roman"/>
          <w:iCs/>
          <w:color w:val="000000" w:themeColor="text1"/>
          <w:sz w:val="24"/>
          <w:szCs w:val="24"/>
          <w:lang w:eastAsia="it-IT"/>
        </w:rPr>
        <w:t>indica la capacità dell’impresa di coprire con mezzi propri le attività immobilizzate dell’azienda</w:t>
      </w:r>
      <w:r w:rsidR="005A7E0B" w:rsidRPr="005A7E0B">
        <w:rPr>
          <w:rFonts w:ascii="Garamond" w:eastAsia="MS Mincho" w:hAnsi="Garamond" w:cs="Times New Roman"/>
          <w:iCs/>
          <w:color w:val="000000" w:themeColor="text1"/>
          <w:sz w:val="24"/>
          <w:szCs w:val="24"/>
          <w:lang w:eastAsia="it-IT"/>
        </w:rPr>
        <w:t>, nel 20</w:t>
      </w:r>
      <w:r w:rsidR="004D2B95">
        <w:rPr>
          <w:rFonts w:ascii="Garamond" w:eastAsia="MS Mincho" w:hAnsi="Garamond" w:cs="Times New Roman"/>
          <w:iCs/>
          <w:color w:val="000000" w:themeColor="text1"/>
          <w:sz w:val="24"/>
          <w:szCs w:val="24"/>
          <w:lang w:eastAsia="it-IT"/>
        </w:rPr>
        <w:t>2</w:t>
      </w:r>
      <w:r w:rsidR="00AE08C9">
        <w:rPr>
          <w:rFonts w:ascii="Garamond" w:eastAsia="MS Mincho" w:hAnsi="Garamond" w:cs="Times New Roman"/>
          <w:iCs/>
          <w:color w:val="000000" w:themeColor="text1"/>
          <w:sz w:val="24"/>
          <w:szCs w:val="24"/>
          <w:lang w:eastAsia="it-IT"/>
        </w:rPr>
        <w:t>4</w:t>
      </w:r>
      <w:r w:rsidR="00923DA3" w:rsidRPr="005A7E0B">
        <w:rPr>
          <w:rFonts w:ascii="Garamond" w:eastAsia="MS Mincho" w:hAnsi="Garamond" w:cs="Times New Roman"/>
          <w:iCs/>
          <w:color w:val="000000" w:themeColor="text1"/>
          <w:sz w:val="24"/>
          <w:szCs w:val="24"/>
          <w:lang w:eastAsia="it-IT"/>
        </w:rPr>
        <w:t xml:space="preserve"> </w:t>
      </w:r>
      <w:r w:rsidR="005A7E0B" w:rsidRPr="005A7E0B">
        <w:rPr>
          <w:rFonts w:ascii="Garamond" w:eastAsia="MS Mincho" w:hAnsi="Garamond" w:cs="Times New Roman"/>
          <w:iCs/>
          <w:color w:val="000000" w:themeColor="text1"/>
          <w:sz w:val="24"/>
          <w:szCs w:val="24"/>
          <w:lang w:eastAsia="it-IT"/>
        </w:rPr>
        <w:t xml:space="preserve">risulta pari a € </w:t>
      </w:r>
      <w:r w:rsidR="00CA540F">
        <w:rPr>
          <w:rFonts w:ascii="Garamond" w:eastAsia="MS Mincho" w:hAnsi="Garamond" w:cs="Times New Roman"/>
          <w:iCs/>
          <w:color w:val="000000" w:themeColor="text1"/>
          <w:sz w:val="24"/>
          <w:szCs w:val="24"/>
          <w:lang w:eastAsia="it-IT"/>
        </w:rPr>
        <w:t>5.758</w:t>
      </w:r>
      <w:r w:rsidR="005A7E0B" w:rsidRPr="005A7E0B">
        <w:rPr>
          <w:rFonts w:ascii="Garamond" w:eastAsia="MS Mincho" w:hAnsi="Garamond" w:cs="Times New Roman"/>
          <w:iCs/>
          <w:color w:val="000000" w:themeColor="text1"/>
          <w:sz w:val="24"/>
          <w:szCs w:val="24"/>
          <w:lang w:eastAsia="it-IT"/>
        </w:rPr>
        <w:t xml:space="preserve">; </w:t>
      </w:r>
      <w:r w:rsidR="00923DA3" w:rsidRPr="005A7E0B">
        <w:rPr>
          <w:rFonts w:ascii="Garamond" w:eastAsia="MS Mincho" w:hAnsi="Garamond" w:cs="Times New Roman"/>
          <w:iCs/>
          <w:color w:val="000000" w:themeColor="text1"/>
          <w:sz w:val="24"/>
          <w:szCs w:val="24"/>
          <w:lang w:eastAsia="it-IT"/>
        </w:rPr>
        <w:t xml:space="preserve">è anch’esso positivo </w:t>
      </w:r>
      <w:r w:rsidR="00992CD9" w:rsidRPr="005A7E0B">
        <w:rPr>
          <w:rFonts w:ascii="Garamond" w:eastAsia="MS Mincho" w:hAnsi="Garamond" w:cs="Times New Roman"/>
          <w:iCs/>
          <w:color w:val="000000" w:themeColor="text1"/>
          <w:sz w:val="24"/>
          <w:szCs w:val="24"/>
          <w:lang w:eastAsia="it-IT"/>
        </w:rPr>
        <w:t>in tutto il periodo</w:t>
      </w:r>
      <w:r w:rsidR="004D2B95">
        <w:rPr>
          <w:rFonts w:ascii="Garamond" w:eastAsia="MS Mincho" w:hAnsi="Garamond" w:cs="Times New Roman"/>
          <w:iCs/>
          <w:color w:val="000000" w:themeColor="text1"/>
          <w:sz w:val="24"/>
          <w:szCs w:val="24"/>
          <w:lang w:eastAsia="it-IT"/>
        </w:rPr>
        <w:t>.</w:t>
      </w:r>
      <w:r w:rsidR="00992CD9" w:rsidRPr="005A7E0B">
        <w:rPr>
          <w:rFonts w:ascii="Garamond" w:eastAsia="MS Mincho" w:hAnsi="Garamond" w:cs="Times New Roman"/>
          <w:iCs/>
          <w:color w:val="000000" w:themeColor="text1"/>
          <w:sz w:val="24"/>
          <w:szCs w:val="24"/>
          <w:lang w:eastAsia="it-IT"/>
        </w:rPr>
        <w:t xml:space="preserve"> </w:t>
      </w:r>
    </w:p>
    <w:p w14:paraId="2CB3C7E6" w14:textId="1B57DDFD" w:rsidR="00923DA3" w:rsidRDefault="00045863" w:rsidP="00005B13">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sidRPr="005A7E0B">
        <w:rPr>
          <w:rFonts w:ascii="Garamond" w:eastAsia="MS Mincho" w:hAnsi="Garamond" w:cs="Times New Roman"/>
          <w:iCs/>
          <w:color w:val="000000" w:themeColor="text1"/>
          <w:sz w:val="24"/>
          <w:szCs w:val="24"/>
          <w:lang w:eastAsia="it-IT"/>
        </w:rPr>
        <w:t>Gli</w:t>
      </w:r>
      <w:r w:rsidR="00702E9B" w:rsidRPr="005A7E0B">
        <w:rPr>
          <w:rFonts w:ascii="Garamond" w:eastAsia="MS Mincho" w:hAnsi="Garamond" w:cs="Times New Roman"/>
          <w:iCs/>
          <w:color w:val="000000" w:themeColor="text1"/>
          <w:sz w:val="24"/>
          <w:szCs w:val="24"/>
          <w:lang w:eastAsia="it-IT"/>
        </w:rPr>
        <w:t xml:space="preserve"> </w:t>
      </w:r>
      <w:r w:rsidR="00702E9B" w:rsidRPr="008D14AC">
        <w:rPr>
          <w:rFonts w:ascii="Garamond" w:eastAsia="MS Mincho" w:hAnsi="Garamond" w:cs="Times New Roman"/>
          <w:b/>
          <w:bCs/>
          <w:i/>
          <w:color w:val="000000" w:themeColor="text1"/>
          <w:sz w:val="24"/>
          <w:szCs w:val="24"/>
          <w:lang w:eastAsia="it-IT"/>
        </w:rPr>
        <w:t>indici di liquidità</w:t>
      </w:r>
      <w:r w:rsidR="00702E9B" w:rsidRPr="005A7E0B">
        <w:rPr>
          <w:rFonts w:ascii="Garamond" w:eastAsia="MS Mincho" w:hAnsi="Garamond" w:cs="Times New Roman"/>
          <w:iCs/>
          <w:color w:val="000000" w:themeColor="text1"/>
          <w:sz w:val="24"/>
          <w:szCs w:val="24"/>
          <w:lang w:eastAsia="it-IT"/>
        </w:rPr>
        <w:t xml:space="preserve"> e di </w:t>
      </w:r>
      <w:r w:rsidR="00702E9B" w:rsidRPr="008D14AC">
        <w:rPr>
          <w:rFonts w:ascii="Garamond" w:eastAsia="MS Mincho" w:hAnsi="Garamond" w:cs="Times New Roman"/>
          <w:b/>
          <w:bCs/>
          <w:i/>
          <w:color w:val="000000" w:themeColor="text1"/>
          <w:sz w:val="24"/>
          <w:szCs w:val="24"/>
          <w:lang w:eastAsia="it-IT"/>
        </w:rPr>
        <w:t>disponibilità</w:t>
      </w:r>
      <w:r w:rsidR="00702E9B" w:rsidRPr="005A7E0B">
        <w:rPr>
          <w:rFonts w:ascii="Garamond" w:eastAsia="MS Mincho" w:hAnsi="Garamond" w:cs="Times New Roman"/>
          <w:iCs/>
          <w:color w:val="000000" w:themeColor="text1"/>
          <w:sz w:val="24"/>
          <w:szCs w:val="24"/>
          <w:lang w:eastAsia="it-IT"/>
        </w:rPr>
        <w:t>, i quali esprimono</w:t>
      </w:r>
      <w:r w:rsidR="00E356A0">
        <w:rPr>
          <w:rStyle w:val="Rimandonotaapidipagina"/>
          <w:rFonts w:ascii="Garamond" w:eastAsia="MS Mincho" w:hAnsi="Garamond" w:cs="Times New Roman"/>
          <w:iCs/>
          <w:color w:val="000000" w:themeColor="text1"/>
          <w:sz w:val="24"/>
          <w:szCs w:val="24"/>
          <w:lang w:eastAsia="it-IT"/>
        </w:rPr>
        <w:footnoteReference w:id="2"/>
      </w:r>
      <w:r w:rsidR="00702E9B" w:rsidRPr="005A7E0B">
        <w:rPr>
          <w:rFonts w:ascii="Garamond" w:eastAsia="MS Mincho" w:hAnsi="Garamond" w:cs="Times New Roman"/>
          <w:iCs/>
          <w:color w:val="000000" w:themeColor="text1"/>
          <w:sz w:val="24"/>
          <w:szCs w:val="24"/>
          <w:lang w:eastAsia="it-IT"/>
        </w:rPr>
        <w:t xml:space="preserve"> la capacità dell’azienda di fare fronte agli impegni finanziari assunti a breve termine in relazione ai mezzi liquidi / disponibili</w:t>
      </w:r>
      <w:r w:rsidR="00702E9B">
        <w:rPr>
          <w:rStyle w:val="Rimandonotaapidipagina"/>
          <w:rFonts w:ascii="Garamond" w:eastAsia="MS Mincho" w:hAnsi="Garamond" w:cs="Times New Roman"/>
          <w:iCs/>
          <w:color w:val="000000" w:themeColor="text1"/>
          <w:sz w:val="24"/>
          <w:szCs w:val="24"/>
          <w:lang w:eastAsia="it-IT"/>
        </w:rPr>
        <w:footnoteReference w:id="3"/>
      </w:r>
      <w:r w:rsidR="008D14AC">
        <w:rPr>
          <w:rFonts w:ascii="Garamond" w:eastAsia="MS Mincho" w:hAnsi="Garamond" w:cs="Times New Roman"/>
          <w:iCs/>
          <w:color w:val="000000" w:themeColor="text1"/>
          <w:sz w:val="24"/>
          <w:szCs w:val="24"/>
          <w:lang w:eastAsia="it-IT"/>
        </w:rPr>
        <w:t>,</w:t>
      </w:r>
      <w:r w:rsidR="005A7E0B" w:rsidRPr="005A7E0B">
        <w:rPr>
          <w:rFonts w:ascii="Garamond" w:eastAsia="MS Mincho" w:hAnsi="Garamond" w:cs="Times New Roman"/>
          <w:iCs/>
          <w:color w:val="000000" w:themeColor="text1"/>
          <w:sz w:val="24"/>
          <w:szCs w:val="24"/>
          <w:lang w:eastAsia="it-IT"/>
        </w:rPr>
        <w:t xml:space="preserve"> risultano costantemente superiori all’unità evidenziando disponibilità superiori ai debiti a breve</w:t>
      </w:r>
      <w:r w:rsidR="008D14AC">
        <w:rPr>
          <w:rFonts w:ascii="Garamond" w:eastAsia="MS Mincho" w:hAnsi="Garamond" w:cs="Times New Roman"/>
          <w:iCs/>
          <w:color w:val="000000" w:themeColor="text1"/>
          <w:sz w:val="24"/>
          <w:szCs w:val="24"/>
          <w:lang w:eastAsia="it-IT"/>
        </w:rPr>
        <w:t xml:space="preserve"> termine</w:t>
      </w:r>
      <w:r w:rsidR="00702E9B" w:rsidRPr="005A7E0B">
        <w:rPr>
          <w:rFonts w:ascii="Garamond" w:eastAsia="MS Mincho" w:hAnsi="Garamond" w:cs="Times New Roman"/>
          <w:iCs/>
          <w:color w:val="000000" w:themeColor="text1"/>
          <w:sz w:val="24"/>
          <w:szCs w:val="24"/>
          <w:lang w:eastAsia="it-IT"/>
        </w:rPr>
        <w:t xml:space="preserve">. L’indice </w:t>
      </w:r>
      <w:r w:rsidR="005A7E0B" w:rsidRPr="005A7E0B">
        <w:rPr>
          <w:rFonts w:ascii="Garamond" w:eastAsia="MS Mincho" w:hAnsi="Garamond" w:cs="Times New Roman"/>
          <w:iCs/>
          <w:color w:val="000000" w:themeColor="text1"/>
          <w:sz w:val="24"/>
          <w:szCs w:val="24"/>
          <w:lang w:eastAsia="it-IT"/>
        </w:rPr>
        <w:t>del 20</w:t>
      </w:r>
      <w:r w:rsidR="004D2B95">
        <w:rPr>
          <w:rFonts w:ascii="Garamond" w:eastAsia="MS Mincho" w:hAnsi="Garamond" w:cs="Times New Roman"/>
          <w:iCs/>
          <w:color w:val="000000" w:themeColor="text1"/>
          <w:sz w:val="24"/>
          <w:szCs w:val="24"/>
          <w:lang w:eastAsia="it-IT"/>
        </w:rPr>
        <w:t>2</w:t>
      </w:r>
      <w:r w:rsidR="00AE08C9">
        <w:rPr>
          <w:rFonts w:ascii="Garamond" w:eastAsia="MS Mincho" w:hAnsi="Garamond" w:cs="Times New Roman"/>
          <w:iCs/>
          <w:color w:val="000000" w:themeColor="text1"/>
          <w:sz w:val="24"/>
          <w:szCs w:val="24"/>
          <w:lang w:eastAsia="it-IT"/>
        </w:rPr>
        <w:t>4</w:t>
      </w:r>
      <w:r w:rsidR="005A7E0B" w:rsidRPr="005A7E0B">
        <w:rPr>
          <w:rFonts w:ascii="Garamond" w:eastAsia="MS Mincho" w:hAnsi="Garamond" w:cs="Times New Roman"/>
          <w:iCs/>
          <w:color w:val="000000" w:themeColor="text1"/>
          <w:sz w:val="24"/>
          <w:szCs w:val="24"/>
          <w:lang w:eastAsia="it-IT"/>
        </w:rPr>
        <w:t xml:space="preserve"> di </w:t>
      </w:r>
      <w:r w:rsidR="00763A0B">
        <w:rPr>
          <w:rFonts w:ascii="Garamond" w:eastAsia="MS Mincho" w:hAnsi="Garamond" w:cs="Times New Roman"/>
          <w:iCs/>
          <w:color w:val="000000" w:themeColor="text1"/>
          <w:sz w:val="24"/>
          <w:szCs w:val="24"/>
          <w:lang w:eastAsia="it-IT"/>
        </w:rPr>
        <w:t>2,</w:t>
      </w:r>
      <w:r w:rsidR="00CA540F">
        <w:rPr>
          <w:rFonts w:ascii="Garamond" w:eastAsia="MS Mincho" w:hAnsi="Garamond" w:cs="Times New Roman"/>
          <w:iCs/>
          <w:color w:val="000000" w:themeColor="text1"/>
          <w:sz w:val="24"/>
          <w:szCs w:val="24"/>
          <w:lang w:eastAsia="it-IT"/>
        </w:rPr>
        <w:t>74</w:t>
      </w:r>
      <w:r w:rsidR="005A7E0B" w:rsidRPr="005A7E0B">
        <w:rPr>
          <w:rFonts w:ascii="Garamond" w:eastAsia="MS Mincho" w:hAnsi="Garamond" w:cs="Times New Roman"/>
          <w:iCs/>
          <w:color w:val="000000" w:themeColor="text1"/>
          <w:sz w:val="24"/>
          <w:szCs w:val="24"/>
          <w:lang w:eastAsia="it-IT"/>
        </w:rPr>
        <w:t xml:space="preserve">, </w:t>
      </w:r>
      <w:r w:rsidR="00702E9B" w:rsidRPr="005A7E0B">
        <w:rPr>
          <w:rFonts w:ascii="Garamond" w:eastAsia="MS Mincho" w:hAnsi="Garamond" w:cs="Times New Roman"/>
          <w:iCs/>
          <w:color w:val="000000" w:themeColor="text1"/>
          <w:sz w:val="24"/>
          <w:szCs w:val="24"/>
          <w:lang w:eastAsia="it-IT"/>
        </w:rPr>
        <w:t>superiore all’unità</w:t>
      </w:r>
      <w:r w:rsidR="005A7E0B" w:rsidRPr="005A7E0B">
        <w:rPr>
          <w:rFonts w:ascii="Garamond" w:eastAsia="MS Mincho" w:hAnsi="Garamond" w:cs="Times New Roman"/>
          <w:iCs/>
          <w:color w:val="000000" w:themeColor="text1"/>
          <w:sz w:val="24"/>
          <w:szCs w:val="24"/>
          <w:lang w:eastAsia="it-IT"/>
        </w:rPr>
        <w:t>, esprime un</w:t>
      </w:r>
      <w:r w:rsidR="008D14AC">
        <w:rPr>
          <w:rFonts w:ascii="Garamond" w:eastAsia="MS Mincho" w:hAnsi="Garamond" w:cs="Times New Roman"/>
          <w:iCs/>
          <w:color w:val="000000" w:themeColor="text1"/>
          <w:sz w:val="24"/>
          <w:szCs w:val="24"/>
          <w:lang w:eastAsia="it-IT"/>
        </w:rPr>
        <w:t>’</w:t>
      </w:r>
      <w:r w:rsidR="005A7E0B" w:rsidRPr="005A7E0B">
        <w:rPr>
          <w:rFonts w:ascii="Garamond" w:eastAsia="MS Mincho" w:hAnsi="Garamond" w:cs="Times New Roman"/>
          <w:iCs/>
          <w:color w:val="000000" w:themeColor="text1"/>
          <w:sz w:val="24"/>
          <w:szCs w:val="24"/>
          <w:lang w:eastAsia="it-IT"/>
        </w:rPr>
        <w:t>adeguata copertura finanziaria dei debiti di breve termine</w:t>
      </w:r>
      <w:r w:rsidR="007762C8">
        <w:rPr>
          <w:rFonts w:ascii="Garamond" w:eastAsia="MS Mincho" w:hAnsi="Garamond" w:cs="Times New Roman"/>
          <w:iCs/>
          <w:color w:val="000000" w:themeColor="text1"/>
          <w:sz w:val="24"/>
          <w:szCs w:val="24"/>
          <w:lang w:eastAsia="it-IT"/>
        </w:rPr>
        <w:t>;</w:t>
      </w:r>
    </w:p>
    <w:p w14:paraId="25200011" w14:textId="79466496" w:rsidR="005A7E0B" w:rsidRDefault="00045863" w:rsidP="00005B13">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Pr>
          <w:rFonts w:ascii="Garamond" w:eastAsia="MS Mincho" w:hAnsi="Garamond" w:cs="Times New Roman"/>
          <w:iCs/>
          <w:color w:val="000000" w:themeColor="text1"/>
          <w:sz w:val="24"/>
          <w:szCs w:val="24"/>
          <w:lang w:eastAsia="it-IT"/>
        </w:rPr>
        <w:t>L’indice</w:t>
      </w:r>
      <w:r w:rsidR="005A7E0B" w:rsidRPr="008D14AC">
        <w:rPr>
          <w:rFonts w:ascii="Garamond" w:eastAsia="MS Mincho" w:hAnsi="Garamond" w:cs="Times New Roman"/>
          <w:b/>
          <w:bCs/>
          <w:i/>
          <w:color w:val="000000" w:themeColor="text1"/>
          <w:sz w:val="24"/>
          <w:szCs w:val="24"/>
          <w:lang w:eastAsia="it-IT"/>
        </w:rPr>
        <w:t xml:space="preserve"> di copertura delle immobilizzazioni</w:t>
      </w:r>
      <w:r w:rsidR="005A7E0B">
        <w:rPr>
          <w:rFonts w:ascii="Garamond" w:eastAsia="MS Mincho" w:hAnsi="Garamond" w:cs="Times New Roman"/>
          <w:iCs/>
          <w:color w:val="000000" w:themeColor="text1"/>
          <w:sz w:val="24"/>
          <w:szCs w:val="24"/>
          <w:lang w:eastAsia="it-IT"/>
        </w:rPr>
        <w:t xml:space="preserve"> </w:t>
      </w:r>
      <w:r w:rsidR="00E356A0">
        <w:rPr>
          <w:rFonts w:ascii="Garamond" w:eastAsia="MS Mincho" w:hAnsi="Garamond" w:cs="Times New Roman"/>
          <w:iCs/>
          <w:color w:val="000000" w:themeColor="text1"/>
          <w:sz w:val="24"/>
          <w:szCs w:val="24"/>
          <w:lang w:eastAsia="it-IT"/>
        </w:rPr>
        <w:t>esprime il grado di copertura degli investimenti immobilizzati tramite il capitale proprio</w:t>
      </w:r>
      <w:r w:rsidR="00E356A0">
        <w:rPr>
          <w:rStyle w:val="Rimandonotaapidipagina"/>
          <w:rFonts w:ascii="Garamond" w:eastAsia="MS Mincho" w:hAnsi="Garamond" w:cs="Times New Roman"/>
          <w:iCs/>
          <w:color w:val="000000" w:themeColor="text1"/>
          <w:sz w:val="24"/>
          <w:szCs w:val="24"/>
          <w:lang w:eastAsia="it-IT"/>
        </w:rPr>
        <w:footnoteReference w:id="4"/>
      </w:r>
      <w:r w:rsidR="00E356A0">
        <w:rPr>
          <w:rFonts w:ascii="Garamond" w:eastAsia="MS Mincho" w:hAnsi="Garamond" w:cs="Times New Roman"/>
          <w:iCs/>
          <w:color w:val="000000" w:themeColor="text1"/>
          <w:sz w:val="24"/>
          <w:szCs w:val="24"/>
          <w:lang w:eastAsia="it-IT"/>
        </w:rPr>
        <w:t>. Il parametro 20</w:t>
      </w:r>
      <w:r w:rsidR="004D2B95">
        <w:rPr>
          <w:rFonts w:ascii="Garamond" w:eastAsia="MS Mincho" w:hAnsi="Garamond" w:cs="Times New Roman"/>
          <w:iCs/>
          <w:color w:val="000000" w:themeColor="text1"/>
          <w:sz w:val="24"/>
          <w:szCs w:val="24"/>
          <w:lang w:eastAsia="it-IT"/>
        </w:rPr>
        <w:t>2</w:t>
      </w:r>
      <w:r w:rsidR="00AE08C9">
        <w:rPr>
          <w:rFonts w:ascii="Garamond" w:eastAsia="MS Mincho" w:hAnsi="Garamond" w:cs="Times New Roman"/>
          <w:iCs/>
          <w:color w:val="000000" w:themeColor="text1"/>
          <w:sz w:val="24"/>
          <w:szCs w:val="24"/>
          <w:lang w:eastAsia="it-IT"/>
        </w:rPr>
        <w:t>4</w:t>
      </w:r>
      <w:r w:rsidR="00E356A0">
        <w:rPr>
          <w:rFonts w:ascii="Garamond" w:eastAsia="MS Mincho" w:hAnsi="Garamond" w:cs="Times New Roman"/>
          <w:iCs/>
          <w:color w:val="000000" w:themeColor="text1"/>
          <w:sz w:val="24"/>
          <w:szCs w:val="24"/>
          <w:lang w:eastAsia="it-IT"/>
        </w:rPr>
        <w:t xml:space="preserve"> restituisce un </w:t>
      </w:r>
      <w:r w:rsidR="00A45B80">
        <w:rPr>
          <w:rFonts w:ascii="Garamond" w:eastAsia="MS Mincho" w:hAnsi="Garamond" w:cs="Times New Roman"/>
          <w:iCs/>
          <w:color w:val="000000" w:themeColor="text1"/>
          <w:sz w:val="24"/>
          <w:szCs w:val="24"/>
          <w:lang w:eastAsia="it-IT"/>
        </w:rPr>
        <w:t xml:space="preserve">congruo </w:t>
      </w:r>
      <w:r w:rsidR="00E356A0">
        <w:rPr>
          <w:rFonts w:ascii="Garamond" w:eastAsia="MS Mincho" w:hAnsi="Garamond" w:cs="Times New Roman"/>
          <w:iCs/>
          <w:color w:val="000000" w:themeColor="text1"/>
          <w:sz w:val="24"/>
          <w:szCs w:val="24"/>
          <w:lang w:eastAsia="it-IT"/>
        </w:rPr>
        <w:t xml:space="preserve">valore di </w:t>
      </w:r>
      <w:r w:rsidR="00FD4844">
        <w:rPr>
          <w:rFonts w:ascii="Garamond" w:eastAsia="MS Mincho" w:hAnsi="Garamond" w:cs="Times New Roman"/>
          <w:iCs/>
          <w:color w:val="000000" w:themeColor="text1"/>
          <w:sz w:val="24"/>
          <w:szCs w:val="24"/>
          <w:lang w:eastAsia="it-IT"/>
        </w:rPr>
        <w:t>1,</w:t>
      </w:r>
      <w:r w:rsidR="00CA540F">
        <w:rPr>
          <w:rFonts w:ascii="Garamond" w:eastAsia="MS Mincho" w:hAnsi="Garamond" w:cs="Times New Roman"/>
          <w:iCs/>
          <w:color w:val="000000" w:themeColor="text1"/>
          <w:sz w:val="24"/>
          <w:szCs w:val="24"/>
          <w:lang w:eastAsia="it-IT"/>
        </w:rPr>
        <w:t>06</w:t>
      </w:r>
      <w:r w:rsidR="00E32D3B">
        <w:rPr>
          <w:rFonts w:ascii="Garamond" w:eastAsia="MS Mincho" w:hAnsi="Garamond" w:cs="Times New Roman"/>
          <w:iCs/>
          <w:color w:val="000000" w:themeColor="text1"/>
          <w:sz w:val="24"/>
          <w:szCs w:val="24"/>
          <w:lang w:eastAsia="it-IT"/>
        </w:rPr>
        <w:t>;</w:t>
      </w:r>
    </w:p>
    <w:p w14:paraId="3914EC29" w14:textId="1CA0F256" w:rsidR="00590B9E" w:rsidRPr="0080386C" w:rsidRDefault="00045863" w:rsidP="00005B13">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sidRPr="0080386C">
        <w:rPr>
          <w:rFonts w:ascii="Garamond" w:eastAsia="MS Mincho" w:hAnsi="Garamond" w:cs="Times New Roman"/>
          <w:iCs/>
          <w:color w:val="000000" w:themeColor="text1"/>
          <w:sz w:val="24"/>
          <w:szCs w:val="24"/>
          <w:lang w:eastAsia="it-IT"/>
        </w:rPr>
        <w:t>Il</w:t>
      </w:r>
      <w:r w:rsidR="00A87EB1" w:rsidRPr="0080386C">
        <w:rPr>
          <w:rFonts w:ascii="Garamond" w:eastAsia="MS Mincho" w:hAnsi="Garamond" w:cs="Times New Roman"/>
          <w:iCs/>
          <w:color w:val="000000" w:themeColor="text1"/>
          <w:sz w:val="24"/>
          <w:szCs w:val="24"/>
          <w:lang w:eastAsia="it-IT"/>
        </w:rPr>
        <w:t xml:space="preserve"> </w:t>
      </w:r>
      <w:r w:rsidR="00A87EB1" w:rsidRPr="0080386C">
        <w:rPr>
          <w:rFonts w:ascii="Garamond" w:eastAsia="MS Mincho" w:hAnsi="Garamond" w:cs="Times New Roman"/>
          <w:b/>
          <w:bCs/>
          <w:i/>
          <w:color w:val="000000" w:themeColor="text1"/>
          <w:sz w:val="24"/>
          <w:szCs w:val="24"/>
          <w:lang w:eastAsia="it-IT"/>
        </w:rPr>
        <w:t>l</w:t>
      </w:r>
      <w:r w:rsidR="009A46F7" w:rsidRPr="0080386C">
        <w:rPr>
          <w:rFonts w:ascii="Garamond" w:eastAsia="MS Mincho" w:hAnsi="Garamond" w:cs="Times New Roman"/>
          <w:b/>
          <w:bCs/>
          <w:i/>
          <w:color w:val="000000" w:themeColor="text1"/>
          <w:sz w:val="24"/>
          <w:szCs w:val="24"/>
          <w:lang w:eastAsia="it-IT"/>
        </w:rPr>
        <w:t>everage</w:t>
      </w:r>
      <w:r w:rsidR="00A87EB1" w:rsidRPr="0080386C">
        <w:rPr>
          <w:rFonts w:ascii="Garamond" w:eastAsia="MS Mincho" w:hAnsi="Garamond" w:cs="Times New Roman"/>
          <w:iCs/>
          <w:color w:val="000000" w:themeColor="text1"/>
          <w:sz w:val="24"/>
          <w:szCs w:val="24"/>
          <w:lang w:eastAsia="it-IT"/>
        </w:rPr>
        <w:t xml:space="preserve">, calcolato come rapporto tra il totale dell’attivo ed il patrimonio netto, evidenzia il grado di solidità patrimoniale dell’azienda. Valori </w:t>
      </w:r>
      <w:r w:rsidR="009839D7" w:rsidRPr="0080386C">
        <w:rPr>
          <w:rFonts w:ascii="Garamond" w:eastAsia="MS Mincho" w:hAnsi="Garamond" w:cs="Times New Roman"/>
          <w:iCs/>
          <w:color w:val="000000" w:themeColor="text1"/>
          <w:sz w:val="24"/>
          <w:szCs w:val="24"/>
          <w:lang w:eastAsia="it-IT"/>
        </w:rPr>
        <w:t xml:space="preserve">ritenuti </w:t>
      </w:r>
      <w:r w:rsidR="00A87EB1" w:rsidRPr="0080386C">
        <w:rPr>
          <w:rFonts w:ascii="Garamond" w:eastAsia="MS Mincho" w:hAnsi="Garamond" w:cs="Times New Roman"/>
          <w:iCs/>
          <w:color w:val="000000" w:themeColor="text1"/>
          <w:sz w:val="24"/>
          <w:szCs w:val="24"/>
          <w:lang w:eastAsia="it-IT"/>
        </w:rPr>
        <w:t xml:space="preserve">congrui dell’indice si attestano tra 3 e 5, valori ottimali sono </w:t>
      </w:r>
      <w:r w:rsidR="00A87EB1" w:rsidRPr="00CA540F">
        <w:rPr>
          <w:rFonts w:ascii="Garamond" w:eastAsia="MS Mincho" w:hAnsi="Garamond" w:cs="Times New Roman"/>
          <w:iCs/>
          <w:color w:val="000000" w:themeColor="text1"/>
          <w:sz w:val="24"/>
          <w:szCs w:val="24"/>
          <w:highlight w:val="yellow"/>
          <w:lang w:eastAsia="it-IT"/>
        </w:rPr>
        <w:t>inferiori a 3</w:t>
      </w:r>
      <w:r w:rsidR="00A87EB1" w:rsidRPr="0080386C">
        <w:rPr>
          <w:rFonts w:ascii="Garamond" w:eastAsia="MS Mincho" w:hAnsi="Garamond" w:cs="Times New Roman"/>
          <w:iCs/>
          <w:color w:val="000000" w:themeColor="text1"/>
          <w:sz w:val="24"/>
          <w:szCs w:val="24"/>
          <w:lang w:eastAsia="it-IT"/>
        </w:rPr>
        <w:t xml:space="preserve">, </w:t>
      </w:r>
      <w:r w:rsidR="009839D7" w:rsidRPr="0080386C">
        <w:rPr>
          <w:rFonts w:ascii="Garamond" w:eastAsia="MS Mincho" w:hAnsi="Garamond" w:cs="Times New Roman"/>
          <w:iCs/>
          <w:color w:val="000000" w:themeColor="text1"/>
          <w:sz w:val="24"/>
          <w:szCs w:val="24"/>
          <w:lang w:eastAsia="it-IT"/>
        </w:rPr>
        <w:t xml:space="preserve"> meriterebbe </w:t>
      </w:r>
      <w:r w:rsidR="00A87EB1" w:rsidRPr="0080386C">
        <w:rPr>
          <w:rFonts w:ascii="Garamond" w:eastAsia="MS Mincho" w:hAnsi="Garamond" w:cs="Times New Roman"/>
          <w:iCs/>
          <w:color w:val="000000" w:themeColor="text1"/>
          <w:sz w:val="24"/>
          <w:szCs w:val="24"/>
          <w:lang w:eastAsia="it-IT"/>
        </w:rPr>
        <w:t>attenzione</w:t>
      </w:r>
      <w:r w:rsidR="009839D7" w:rsidRPr="0080386C">
        <w:rPr>
          <w:rFonts w:ascii="Garamond" w:eastAsia="MS Mincho" w:hAnsi="Garamond" w:cs="Times New Roman"/>
          <w:iCs/>
          <w:color w:val="000000" w:themeColor="text1"/>
          <w:sz w:val="24"/>
          <w:szCs w:val="24"/>
          <w:lang w:eastAsia="it-IT"/>
        </w:rPr>
        <w:t xml:space="preserve"> se </w:t>
      </w:r>
      <w:r w:rsidR="00890BB8" w:rsidRPr="0080386C">
        <w:rPr>
          <w:rFonts w:ascii="Garamond" w:eastAsia="MS Mincho" w:hAnsi="Garamond" w:cs="Times New Roman"/>
          <w:iCs/>
          <w:color w:val="000000" w:themeColor="text1"/>
          <w:sz w:val="24"/>
          <w:szCs w:val="24"/>
          <w:lang w:eastAsia="it-IT"/>
        </w:rPr>
        <w:t xml:space="preserve">il valore di </w:t>
      </w:r>
      <w:r w:rsidR="009839D7" w:rsidRPr="0080386C">
        <w:rPr>
          <w:rFonts w:ascii="Garamond" w:eastAsia="MS Mincho" w:hAnsi="Garamond" w:cs="Times New Roman"/>
          <w:iCs/>
          <w:color w:val="000000" w:themeColor="text1"/>
          <w:sz w:val="24"/>
          <w:szCs w:val="24"/>
          <w:lang w:eastAsia="it-IT"/>
        </w:rPr>
        <w:t>detto parametro</w:t>
      </w:r>
      <w:r w:rsidR="00890BB8" w:rsidRPr="0080386C">
        <w:rPr>
          <w:rFonts w:ascii="Garamond" w:eastAsia="MS Mincho" w:hAnsi="Garamond" w:cs="Times New Roman"/>
          <w:iCs/>
          <w:color w:val="000000" w:themeColor="text1"/>
          <w:sz w:val="24"/>
          <w:szCs w:val="24"/>
          <w:lang w:eastAsia="it-IT"/>
        </w:rPr>
        <w:t>,</w:t>
      </w:r>
      <w:r w:rsidR="009839D7" w:rsidRPr="0080386C">
        <w:rPr>
          <w:rFonts w:ascii="Garamond" w:eastAsia="MS Mincho" w:hAnsi="Garamond" w:cs="Times New Roman"/>
          <w:iCs/>
          <w:color w:val="000000" w:themeColor="text1"/>
          <w:sz w:val="24"/>
          <w:szCs w:val="24"/>
          <w:lang w:eastAsia="it-IT"/>
        </w:rPr>
        <w:t xml:space="preserve"> </w:t>
      </w:r>
      <w:r w:rsidR="00890BB8" w:rsidRPr="0080386C">
        <w:rPr>
          <w:rFonts w:ascii="Garamond" w:eastAsia="MS Mincho" w:hAnsi="Garamond" w:cs="Times New Roman"/>
          <w:iCs/>
          <w:color w:val="000000" w:themeColor="text1"/>
          <w:sz w:val="24"/>
          <w:szCs w:val="24"/>
          <w:lang w:eastAsia="it-IT"/>
        </w:rPr>
        <w:t>non fosse</w:t>
      </w:r>
      <w:r w:rsidR="00652F47" w:rsidRPr="0080386C">
        <w:rPr>
          <w:rFonts w:ascii="Garamond" w:eastAsia="MS Mincho" w:hAnsi="Garamond" w:cs="Times New Roman"/>
          <w:iCs/>
          <w:color w:val="000000" w:themeColor="text1"/>
          <w:sz w:val="24"/>
          <w:szCs w:val="24"/>
          <w:lang w:eastAsia="it-IT"/>
        </w:rPr>
        <w:t>, nel caso di specie,</w:t>
      </w:r>
      <w:r w:rsidR="00890BB8" w:rsidRPr="0080386C">
        <w:rPr>
          <w:rFonts w:ascii="Garamond" w:eastAsia="MS Mincho" w:hAnsi="Garamond" w:cs="Times New Roman"/>
          <w:iCs/>
          <w:color w:val="000000" w:themeColor="text1"/>
          <w:sz w:val="24"/>
          <w:szCs w:val="24"/>
          <w:lang w:eastAsia="it-IT"/>
        </w:rPr>
        <w:t xml:space="preserve"> strettamente condizionato </w:t>
      </w:r>
      <w:r w:rsidR="009839D7" w:rsidRPr="0080386C">
        <w:rPr>
          <w:rFonts w:ascii="Garamond" w:eastAsia="MS Mincho" w:hAnsi="Garamond" w:cs="Times New Roman"/>
          <w:iCs/>
          <w:color w:val="000000" w:themeColor="text1"/>
          <w:sz w:val="24"/>
          <w:szCs w:val="24"/>
          <w:lang w:eastAsia="it-IT"/>
        </w:rPr>
        <w:t xml:space="preserve">dalle </w:t>
      </w:r>
      <w:r w:rsidR="00890BB8" w:rsidRPr="0080386C">
        <w:rPr>
          <w:rFonts w:ascii="Garamond" w:eastAsia="MS Mincho" w:hAnsi="Garamond" w:cs="Times New Roman"/>
          <w:iCs/>
          <w:color w:val="000000" w:themeColor="text1"/>
          <w:sz w:val="24"/>
          <w:szCs w:val="24"/>
          <w:lang w:eastAsia="it-IT"/>
        </w:rPr>
        <w:t>consistenti</w:t>
      </w:r>
      <w:r w:rsidR="009839D7" w:rsidRPr="0080386C">
        <w:rPr>
          <w:rFonts w:ascii="Garamond" w:eastAsia="MS Mincho" w:hAnsi="Garamond" w:cs="Times New Roman"/>
          <w:iCs/>
          <w:color w:val="000000" w:themeColor="text1"/>
          <w:sz w:val="24"/>
          <w:szCs w:val="24"/>
          <w:lang w:eastAsia="it-IT"/>
        </w:rPr>
        <w:t xml:space="preserve"> disponibilità liquide presenti</w:t>
      </w:r>
      <w:r w:rsidR="00890BB8" w:rsidRPr="0080386C">
        <w:rPr>
          <w:rFonts w:ascii="Garamond" w:eastAsia="MS Mincho" w:hAnsi="Garamond" w:cs="Times New Roman"/>
          <w:iCs/>
          <w:color w:val="000000" w:themeColor="text1"/>
          <w:sz w:val="24"/>
          <w:szCs w:val="24"/>
          <w:lang w:eastAsia="it-IT"/>
        </w:rPr>
        <w:t xml:space="preserve"> nell’attivo del bilancio di Civita.s</w:t>
      </w:r>
      <w:r w:rsidR="00E32D3B" w:rsidRPr="0080386C">
        <w:rPr>
          <w:rFonts w:ascii="Garamond" w:eastAsia="MS Mincho" w:hAnsi="Garamond" w:cs="Times New Roman"/>
          <w:iCs/>
          <w:color w:val="000000" w:themeColor="text1"/>
          <w:sz w:val="24"/>
          <w:szCs w:val="24"/>
          <w:lang w:eastAsia="it-IT"/>
        </w:rPr>
        <w:t>.</w:t>
      </w:r>
    </w:p>
    <w:p w14:paraId="67B88774" w14:textId="76BF5A83" w:rsidR="009839D7" w:rsidRDefault="009839D7" w:rsidP="00E32D3B">
      <w:pPr>
        <w:spacing w:after="0" w:line="240" w:lineRule="auto"/>
        <w:jc w:val="both"/>
        <w:rPr>
          <w:rFonts w:ascii="Garamond" w:eastAsia="MS Mincho" w:hAnsi="Garamond" w:cs="Times New Roman"/>
          <w:iCs/>
          <w:color w:val="000000" w:themeColor="text1"/>
          <w:sz w:val="24"/>
          <w:szCs w:val="24"/>
          <w:lang w:eastAsia="it-IT"/>
        </w:rPr>
      </w:pPr>
    </w:p>
    <w:p w14:paraId="76AC7847" w14:textId="4903C432" w:rsidR="00E32D3B" w:rsidRPr="00923DA3" w:rsidRDefault="00E32D3B" w:rsidP="00E32D3B">
      <w:pPr>
        <w:spacing w:after="0" w:line="240" w:lineRule="auto"/>
        <w:jc w:val="both"/>
        <w:rPr>
          <w:rFonts w:ascii="Garamond" w:eastAsia="MS Mincho" w:hAnsi="Garamond" w:cs="Times New Roman"/>
          <w:b/>
          <w:bCs/>
          <w:iCs/>
          <w:color w:val="000000" w:themeColor="text1"/>
          <w:sz w:val="24"/>
          <w:szCs w:val="24"/>
          <w:lang w:eastAsia="it-IT"/>
        </w:rPr>
      </w:pPr>
      <w:r>
        <w:rPr>
          <w:rFonts w:ascii="Garamond" w:eastAsia="MS Mincho" w:hAnsi="Garamond" w:cs="Times New Roman"/>
          <w:b/>
          <w:bCs/>
          <w:iCs/>
          <w:color w:val="000000" w:themeColor="text1"/>
          <w:sz w:val="24"/>
          <w:szCs w:val="24"/>
          <w:lang w:eastAsia="it-IT"/>
        </w:rPr>
        <w:t xml:space="preserve">Conto economico </w:t>
      </w:r>
      <w:r w:rsidRPr="00923DA3">
        <w:rPr>
          <w:rFonts w:ascii="Garamond" w:eastAsia="MS Mincho" w:hAnsi="Garamond" w:cs="Times New Roman"/>
          <w:b/>
          <w:bCs/>
          <w:iCs/>
          <w:color w:val="000000" w:themeColor="text1"/>
          <w:sz w:val="24"/>
          <w:szCs w:val="24"/>
          <w:lang w:eastAsia="it-IT"/>
        </w:rPr>
        <w:t>– Margini e indici</w:t>
      </w:r>
    </w:p>
    <w:p w14:paraId="30E86430" w14:textId="1761CBC5" w:rsidR="00E32D3B" w:rsidRDefault="00E32D3B" w:rsidP="00E32D3B">
      <w:pPr>
        <w:spacing w:after="0" w:line="240" w:lineRule="auto"/>
        <w:jc w:val="both"/>
        <w:rPr>
          <w:rFonts w:ascii="Garamond" w:eastAsia="MS Mincho" w:hAnsi="Garamond" w:cs="Times New Roman"/>
          <w:iCs/>
          <w:color w:val="000000" w:themeColor="text1"/>
          <w:sz w:val="24"/>
          <w:szCs w:val="24"/>
          <w:lang w:eastAsia="it-IT"/>
        </w:rPr>
      </w:pPr>
      <w:r w:rsidRPr="00900042">
        <w:rPr>
          <w:rFonts w:ascii="Garamond" w:eastAsia="MS Mincho" w:hAnsi="Garamond" w:cs="Times New Roman"/>
          <w:iCs/>
          <w:color w:val="000000" w:themeColor="text1"/>
          <w:sz w:val="24"/>
          <w:szCs w:val="24"/>
          <w:lang w:eastAsia="it-IT"/>
        </w:rPr>
        <w:t xml:space="preserve">I margini e gli indici </w:t>
      </w:r>
      <w:r>
        <w:rPr>
          <w:rFonts w:ascii="Garamond" w:eastAsia="MS Mincho" w:hAnsi="Garamond" w:cs="Times New Roman"/>
          <w:iCs/>
          <w:color w:val="000000" w:themeColor="text1"/>
          <w:sz w:val="24"/>
          <w:szCs w:val="24"/>
          <w:lang w:eastAsia="it-IT"/>
        </w:rPr>
        <w:t>economici calcolati sui bilanci dell’esercizio corrente e dei tre precedenti evidenziano parametri</w:t>
      </w:r>
      <w:r w:rsidRPr="00A87EB1">
        <w:rPr>
          <w:rFonts w:ascii="Garamond" w:eastAsia="MS Mincho" w:hAnsi="Garamond" w:cs="Times New Roman"/>
          <w:iCs/>
          <w:color w:val="000000" w:themeColor="text1"/>
          <w:sz w:val="24"/>
          <w:szCs w:val="24"/>
          <w:lang w:eastAsia="it-IT"/>
        </w:rPr>
        <w:t xml:space="preserve"> </w:t>
      </w:r>
      <w:r>
        <w:rPr>
          <w:rFonts w:ascii="Garamond" w:eastAsia="MS Mincho" w:hAnsi="Garamond" w:cs="Times New Roman"/>
          <w:iCs/>
          <w:color w:val="000000" w:themeColor="text1"/>
          <w:sz w:val="24"/>
          <w:szCs w:val="24"/>
          <w:lang w:eastAsia="it-IT"/>
        </w:rPr>
        <w:t>sostanzialmente adeguati, infatti:</w:t>
      </w:r>
    </w:p>
    <w:p w14:paraId="1DD3047C" w14:textId="7021CAF5" w:rsidR="00E32D3B" w:rsidRDefault="00E32D3B" w:rsidP="00E32D3B">
      <w:pPr>
        <w:spacing w:after="0" w:line="240" w:lineRule="auto"/>
        <w:jc w:val="both"/>
        <w:rPr>
          <w:rFonts w:ascii="Garamond" w:eastAsia="MS Mincho" w:hAnsi="Garamond" w:cs="Times New Roman"/>
          <w:iCs/>
          <w:color w:val="000000" w:themeColor="text1"/>
          <w:sz w:val="24"/>
          <w:szCs w:val="24"/>
          <w:lang w:eastAsia="it-IT"/>
        </w:rPr>
      </w:pPr>
    </w:p>
    <w:p w14:paraId="0E120DEF" w14:textId="3D9B9A21" w:rsidR="00E32D3B" w:rsidRDefault="00045863" w:rsidP="00734BCF">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Pr>
          <w:rFonts w:ascii="Garamond" w:eastAsia="MS Mincho" w:hAnsi="Garamond" w:cs="Times New Roman"/>
          <w:iCs/>
          <w:color w:val="000000" w:themeColor="text1"/>
          <w:sz w:val="24"/>
          <w:szCs w:val="24"/>
          <w:lang w:eastAsia="it-IT"/>
        </w:rPr>
        <w:t>Il</w:t>
      </w:r>
      <w:r w:rsidR="00E32D3B">
        <w:rPr>
          <w:rFonts w:ascii="Garamond" w:eastAsia="MS Mincho" w:hAnsi="Garamond" w:cs="Times New Roman"/>
          <w:iCs/>
          <w:color w:val="000000" w:themeColor="text1"/>
          <w:sz w:val="24"/>
          <w:szCs w:val="24"/>
          <w:lang w:eastAsia="it-IT"/>
        </w:rPr>
        <w:t xml:space="preserve"> </w:t>
      </w:r>
      <w:r w:rsidR="00E32D3B" w:rsidRPr="00ED26DA">
        <w:rPr>
          <w:rFonts w:ascii="Garamond" w:eastAsia="MS Mincho" w:hAnsi="Garamond" w:cs="Times New Roman"/>
          <w:b/>
          <w:bCs/>
          <w:i/>
          <w:color w:val="000000" w:themeColor="text1"/>
          <w:sz w:val="24"/>
          <w:szCs w:val="24"/>
          <w:lang w:eastAsia="it-IT"/>
        </w:rPr>
        <w:t>Mol</w:t>
      </w:r>
      <w:r w:rsidR="00ED26DA">
        <w:rPr>
          <w:rFonts w:ascii="Garamond" w:eastAsia="MS Mincho" w:hAnsi="Garamond" w:cs="Times New Roman"/>
          <w:b/>
          <w:bCs/>
          <w:iCs/>
          <w:color w:val="000000" w:themeColor="text1"/>
          <w:sz w:val="24"/>
          <w:szCs w:val="24"/>
          <w:lang w:eastAsia="it-IT"/>
        </w:rPr>
        <w:t xml:space="preserve"> </w:t>
      </w:r>
      <w:r w:rsidR="00ED26DA" w:rsidRPr="00ED26DA">
        <w:rPr>
          <w:rFonts w:ascii="Garamond" w:eastAsia="MS Mincho" w:hAnsi="Garamond" w:cs="Times New Roman"/>
          <w:iCs/>
          <w:color w:val="000000" w:themeColor="text1"/>
          <w:sz w:val="24"/>
          <w:szCs w:val="24"/>
          <w:lang w:eastAsia="it-IT"/>
        </w:rPr>
        <w:t>(o Ebitda)</w:t>
      </w:r>
      <w:r w:rsidR="00DC75E1">
        <w:rPr>
          <w:rFonts w:ascii="Garamond" w:eastAsia="MS Mincho" w:hAnsi="Garamond" w:cs="Times New Roman"/>
          <w:iCs/>
          <w:color w:val="000000" w:themeColor="text1"/>
          <w:sz w:val="24"/>
          <w:szCs w:val="24"/>
          <w:lang w:eastAsia="it-IT"/>
        </w:rPr>
        <w:t xml:space="preserve"> del 20</w:t>
      </w:r>
      <w:r w:rsidR="00806986">
        <w:rPr>
          <w:rFonts w:ascii="Garamond" w:eastAsia="MS Mincho" w:hAnsi="Garamond" w:cs="Times New Roman"/>
          <w:iCs/>
          <w:color w:val="000000" w:themeColor="text1"/>
          <w:sz w:val="24"/>
          <w:szCs w:val="24"/>
          <w:lang w:eastAsia="it-IT"/>
        </w:rPr>
        <w:t>2</w:t>
      </w:r>
      <w:r w:rsidR="00AE08C9">
        <w:rPr>
          <w:rFonts w:ascii="Garamond" w:eastAsia="MS Mincho" w:hAnsi="Garamond" w:cs="Times New Roman"/>
          <w:iCs/>
          <w:color w:val="000000" w:themeColor="text1"/>
          <w:sz w:val="24"/>
          <w:szCs w:val="24"/>
          <w:lang w:eastAsia="it-IT"/>
        </w:rPr>
        <w:t>4</w:t>
      </w:r>
      <w:r w:rsidR="00DC75E1">
        <w:rPr>
          <w:rFonts w:ascii="Garamond" w:eastAsia="MS Mincho" w:hAnsi="Garamond" w:cs="Times New Roman"/>
          <w:iCs/>
          <w:color w:val="000000" w:themeColor="text1"/>
          <w:sz w:val="24"/>
          <w:szCs w:val="24"/>
          <w:lang w:eastAsia="it-IT"/>
        </w:rPr>
        <w:t xml:space="preserve"> di € </w:t>
      </w:r>
      <w:r w:rsidR="00CA540F">
        <w:rPr>
          <w:rFonts w:ascii="Garamond" w:eastAsia="MS Mincho" w:hAnsi="Garamond" w:cs="Times New Roman"/>
          <w:iCs/>
          <w:color w:val="000000" w:themeColor="text1"/>
          <w:sz w:val="24"/>
          <w:szCs w:val="24"/>
          <w:lang w:eastAsia="it-IT"/>
        </w:rPr>
        <w:t>66.035</w:t>
      </w:r>
      <w:r w:rsidR="00806986">
        <w:rPr>
          <w:rFonts w:ascii="Garamond" w:eastAsia="MS Mincho" w:hAnsi="Garamond" w:cs="Times New Roman"/>
          <w:iCs/>
          <w:color w:val="000000" w:themeColor="text1"/>
          <w:sz w:val="24"/>
          <w:szCs w:val="24"/>
          <w:lang w:eastAsia="it-IT"/>
        </w:rPr>
        <w:t xml:space="preserve"> dimostra  </w:t>
      </w:r>
      <w:r w:rsidR="00A45B80">
        <w:rPr>
          <w:rFonts w:ascii="Garamond" w:eastAsia="MS Mincho" w:hAnsi="Garamond" w:cs="Times New Roman"/>
          <w:iCs/>
          <w:color w:val="000000" w:themeColor="text1"/>
          <w:sz w:val="24"/>
          <w:szCs w:val="24"/>
          <w:lang w:eastAsia="it-IT"/>
        </w:rPr>
        <w:t xml:space="preserve"> un</w:t>
      </w:r>
      <w:r w:rsidR="00806986">
        <w:rPr>
          <w:rFonts w:ascii="Garamond" w:eastAsia="MS Mincho" w:hAnsi="Garamond" w:cs="Times New Roman"/>
          <w:iCs/>
          <w:color w:val="000000" w:themeColor="text1"/>
          <w:sz w:val="24"/>
          <w:szCs w:val="24"/>
          <w:lang w:eastAsia="it-IT"/>
        </w:rPr>
        <w:t xml:space="preserve">a buona copertura </w:t>
      </w:r>
      <w:r w:rsidR="00A45B80">
        <w:rPr>
          <w:rFonts w:ascii="Garamond" w:eastAsia="MS Mincho" w:hAnsi="Garamond" w:cs="Times New Roman"/>
          <w:iCs/>
          <w:color w:val="000000" w:themeColor="text1"/>
          <w:sz w:val="24"/>
          <w:szCs w:val="24"/>
          <w:lang w:eastAsia="it-IT"/>
        </w:rPr>
        <w:t>delle altre componenti economiche di costo (ammortamenti, accantonamenti, interessi e imposte dell’esercizio)</w:t>
      </w:r>
      <w:r w:rsidR="00DC75E1">
        <w:rPr>
          <w:rFonts w:ascii="Garamond" w:eastAsia="MS Mincho" w:hAnsi="Garamond" w:cs="Times New Roman"/>
          <w:iCs/>
          <w:color w:val="000000" w:themeColor="text1"/>
          <w:sz w:val="24"/>
          <w:szCs w:val="24"/>
          <w:lang w:eastAsia="it-IT"/>
        </w:rPr>
        <w:t>;</w:t>
      </w:r>
    </w:p>
    <w:p w14:paraId="71808FEE" w14:textId="476BBDA4" w:rsidR="00DC75E1" w:rsidRDefault="00DC75E1" w:rsidP="00E32D3B">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sidRPr="00114350">
        <w:rPr>
          <w:rFonts w:ascii="Garamond" w:eastAsia="MS Mincho" w:hAnsi="Garamond" w:cs="Times New Roman"/>
          <w:iCs/>
          <w:color w:val="000000" w:themeColor="text1"/>
          <w:sz w:val="24"/>
          <w:szCs w:val="24"/>
          <w:lang w:eastAsia="it-IT"/>
        </w:rPr>
        <w:t>l’</w:t>
      </w:r>
      <w:r w:rsidRPr="00114350">
        <w:rPr>
          <w:rFonts w:ascii="Garamond" w:eastAsia="MS Mincho" w:hAnsi="Garamond" w:cs="Times New Roman"/>
          <w:b/>
          <w:bCs/>
          <w:i/>
          <w:color w:val="000000" w:themeColor="text1"/>
          <w:sz w:val="24"/>
          <w:szCs w:val="24"/>
          <w:lang w:eastAsia="it-IT"/>
        </w:rPr>
        <w:t>Ebit</w:t>
      </w:r>
      <w:r>
        <w:rPr>
          <w:rFonts w:ascii="Garamond" w:eastAsia="MS Mincho" w:hAnsi="Garamond" w:cs="Times New Roman"/>
          <w:iCs/>
          <w:color w:val="000000" w:themeColor="text1"/>
          <w:sz w:val="24"/>
          <w:szCs w:val="24"/>
          <w:lang w:eastAsia="it-IT"/>
        </w:rPr>
        <w:t xml:space="preserve"> del 20</w:t>
      </w:r>
      <w:r w:rsidR="00806986">
        <w:rPr>
          <w:rFonts w:ascii="Garamond" w:eastAsia="MS Mincho" w:hAnsi="Garamond" w:cs="Times New Roman"/>
          <w:iCs/>
          <w:color w:val="000000" w:themeColor="text1"/>
          <w:sz w:val="24"/>
          <w:szCs w:val="24"/>
          <w:lang w:eastAsia="it-IT"/>
        </w:rPr>
        <w:t>2</w:t>
      </w:r>
      <w:r w:rsidR="00AE08C9">
        <w:rPr>
          <w:rFonts w:ascii="Garamond" w:eastAsia="MS Mincho" w:hAnsi="Garamond" w:cs="Times New Roman"/>
          <w:iCs/>
          <w:color w:val="000000" w:themeColor="text1"/>
          <w:sz w:val="24"/>
          <w:szCs w:val="24"/>
          <w:lang w:eastAsia="it-IT"/>
        </w:rPr>
        <w:t>4</w:t>
      </w:r>
      <w:r>
        <w:rPr>
          <w:rFonts w:ascii="Garamond" w:eastAsia="MS Mincho" w:hAnsi="Garamond" w:cs="Times New Roman"/>
          <w:iCs/>
          <w:color w:val="000000" w:themeColor="text1"/>
          <w:sz w:val="24"/>
          <w:szCs w:val="24"/>
          <w:lang w:eastAsia="it-IT"/>
        </w:rPr>
        <w:t xml:space="preserve"> </w:t>
      </w:r>
      <w:r w:rsidR="00045863">
        <w:rPr>
          <w:rFonts w:ascii="Garamond" w:eastAsia="MS Mincho" w:hAnsi="Garamond" w:cs="Times New Roman"/>
          <w:iCs/>
          <w:color w:val="000000" w:themeColor="text1"/>
          <w:sz w:val="24"/>
          <w:szCs w:val="24"/>
          <w:lang w:eastAsia="it-IT"/>
        </w:rPr>
        <w:t>è</w:t>
      </w:r>
      <w:r w:rsidR="00806986">
        <w:rPr>
          <w:rFonts w:ascii="Garamond" w:eastAsia="MS Mincho" w:hAnsi="Garamond" w:cs="Times New Roman"/>
          <w:iCs/>
          <w:color w:val="000000" w:themeColor="text1"/>
          <w:sz w:val="24"/>
          <w:szCs w:val="24"/>
          <w:lang w:eastAsia="it-IT"/>
        </w:rPr>
        <w:t xml:space="preserve"> </w:t>
      </w:r>
      <w:r w:rsidR="00045863">
        <w:rPr>
          <w:rFonts w:ascii="Garamond" w:eastAsia="MS Mincho" w:hAnsi="Garamond" w:cs="Times New Roman"/>
          <w:iCs/>
          <w:color w:val="000000" w:themeColor="text1"/>
          <w:sz w:val="24"/>
          <w:szCs w:val="24"/>
          <w:lang w:eastAsia="it-IT"/>
        </w:rPr>
        <w:t>di €</w:t>
      </w:r>
      <w:r>
        <w:rPr>
          <w:rFonts w:ascii="Garamond" w:eastAsia="MS Mincho" w:hAnsi="Garamond" w:cs="Times New Roman"/>
          <w:iCs/>
          <w:color w:val="000000" w:themeColor="text1"/>
          <w:sz w:val="24"/>
          <w:szCs w:val="24"/>
          <w:lang w:eastAsia="it-IT"/>
        </w:rPr>
        <w:t xml:space="preserve"> </w:t>
      </w:r>
      <w:r w:rsidR="00CA540F">
        <w:rPr>
          <w:rFonts w:ascii="Garamond" w:eastAsia="MS Mincho" w:hAnsi="Garamond" w:cs="Times New Roman"/>
          <w:iCs/>
          <w:color w:val="000000" w:themeColor="text1"/>
          <w:sz w:val="24"/>
          <w:szCs w:val="24"/>
          <w:lang w:eastAsia="it-IT"/>
        </w:rPr>
        <w:t>49.091</w:t>
      </w:r>
      <w:r w:rsidR="00045863">
        <w:rPr>
          <w:rFonts w:ascii="Garamond" w:eastAsia="MS Mincho" w:hAnsi="Garamond" w:cs="Times New Roman"/>
          <w:iCs/>
          <w:color w:val="000000" w:themeColor="text1"/>
          <w:sz w:val="24"/>
          <w:szCs w:val="24"/>
          <w:lang w:eastAsia="it-IT"/>
        </w:rPr>
        <w:t>,</w:t>
      </w:r>
      <w:r>
        <w:rPr>
          <w:rFonts w:ascii="Garamond" w:eastAsia="MS Mincho" w:hAnsi="Garamond" w:cs="Times New Roman"/>
          <w:iCs/>
          <w:color w:val="000000" w:themeColor="text1"/>
          <w:sz w:val="24"/>
          <w:szCs w:val="24"/>
          <w:lang w:eastAsia="it-IT"/>
        </w:rPr>
        <w:t xml:space="preserve"> </w:t>
      </w:r>
      <w:r w:rsidR="004521B6">
        <w:rPr>
          <w:rFonts w:ascii="Garamond" w:eastAsia="MS Mincho" w:hAnsi="Garamond" w:cs="Times New Roman"/>
          <w:iCs/>
          <w:color w:val="000000" w:themeColor="text1"/>
          <w:sz w:val="24"/>
          <w:szCs w:val="24"/>
          <w:lang w:eastAsia="it-IT"/>
        </w:rPr>
        <w:t xml:space="preserve">risulta </w:t>
      </w:r>
      <w:r>
        <w:rPr>
          <w:rFonts w:ascii="Garamond" w:eastAsia="MS Mincho" w:hAnsi="Garamond" w:cs="Times New Roman"/>
          <w:iCs/>
          <w:color w:val="000000" w:themeColor="text1"/>
          <w:sz w:val="24"/>
          <w:szCs w:val="24"/>
          <w:lang w:eastAsia="it-IT"/>
        </w:rPr>
        <w:t xml:space="preserve">positivo </w:t>
      </w:r>
      <w:r w:rsidR="004521B6">
        <w:rPr>
          <w:rFonts w:ascii="Garamond" w:eastAsia="MS Mincho" w:hAnsi="Garamond" w:cs="Times New Roman"/>
          <w:iCs/>
          <w:color w:val="000000" w:themeColor="text1"/>
          <w:sz w:val="24"/>
          <w:szCs w:val="24"/>
          <w:lang w:eastAsia="it-IT"/>
        </w:rPr>
        <w:t xml:space="preserve">e conseguentemente adeguato alle aspettative di redditività di una impresa </w:t>
      </w:r>
      <w:r w:rsidR="004521B6" w:rsidRPr="004521B6">
        <w:rPr>
          <w:rFonts w:ascii="Garamond" w:eastAsia="MS Mincho" w:hAnsi="Garamond" w:cs="Times New Roman"/>
          <w:i/>
          <w:color w:val="000000" w:themeColor="text1"/>
          <w:sz w:val="24"/>
          <w:szCs w:val="24"/>
          <w:lang w:eastAsia="it-IT"/>
        </w:rPr>
        <w:t>in house</w:t>
      </w:r>
      <w:r w:rsidR="004521B6">
        <w:rPr>
          <w:rFonts w:ascii="Garamond" w:eastAsia="MS Mincho" w:hAnsi="Garamond" w:cs="Times New Roman"/>
          <w:i/>
          <w:color w:val="000000" w:themeColor="text1"/>
          <w:sz w:val="24"/>
          <w:szCs w:val="24"/>
          <w:lang w:eastAsia="it-IT"/>
        </w:rPr>
        <w:t xml:space="preserve"> </w:t>
      </w:r>
      <w:r w:rsidR="004521B6" w:rsidRPr="004521B6">
        <w:rPr>
          <w:rFonts w:ascii="Garamond" w:eastAsia="MS Mincho" w:hAnsi="Garamond" w:cs="Times New Roman"/>
          <w:iCs/>
          <w:color w:val="000000" w:themeColor="text1"/>
          <w:sz w:val="24"/>
          <w:szCs w:val="24"/>
          <w:lang w:eastAsia="it-IT"/>
        </w:rPr>
        <w:t>in</w:t>
      </w:r>
      <w:r w:rsidR="004521B6">
        <w:rPr>
          <w:rFonts w:ascii="Garamond" w:eastAsia="MS Mincho" w:hAnsi="Garamond" w:cs="Times New Roman"/>
          <w:i/>
          <w:color w:val="000000" w:themeColor="text1"/>
          <w:sz w:val="24"/>
          <w:szCs w:val="24"/>
          <w:lang w:eastAsia="it-IT"/>
        </w:rPr>
        <w:t xml:space="preserve"> </w:t>
      </w:r>
      <w:r w:rsidR="004521B6" w:rsidRPr="002B57BA">
        <w:rPr>
          <w:rFonts w:ascii="Garamond" w:eastAsia="MS Mincho" w:hAnsi="Garamond" w:cs="Times New Roman"/>
          <w:iCs/>
          <w:color w:val="000000" w:themeColor="text1"/>
          <w:sz w:val="24"/>
          <w:szCs w:val="24"/>
          <w:lang w:eastAsia="it-IT"/>
        </w:rPr>
        <w:t xml:space="preserve">ragione della natura pubblica dell’attività che svolge </w:t>
      </w:r>
      <w:r w:rsidR="004521B6">
        <w:rPr>
          <w:rFonts w:ascii="Garamond" w:eastAsia="MS Mincho" w:hAnsi="Garamond" w:cs="Times New Roman"/>
          <w:iCs/>
          <w:color w:val="000000" w:themeColor="text1"/>
          <w:sz w:val="24"/>
          <w:szCs w:val="24"/>
          <w:lang w:eastAsia="it-IT"/>
        </w:rPr>
        <w:t xml:space="preserve">la società che, nel rispetto </w:t>
      </w:r>
      <w:r w:rsidR="004521B6" w:rsidRPr="002B57BA">
        <w:rPr>
          <w:rFonts w:ascii="Garamond" w:eastAsia="MS Mincho" w:hAnsi="Garamond" w:cs="Times New Roman"/>
          <w:iCs/>
          <w:color w:val="000000" w:themeColor="text1"/>
          <w:sz w:val="24"/>
          <w:szCs w:val="24"/>
          <w:lang w:eastAsia="it-IT"/>
        </w:rPr>
        <w:t>d</w:t>
      </w:r>
      <w:r w:rsidR="004521B6">
        <w:rPr>
          <w:rFonts w:ascii="Garamond" w:eastAsia="MS Mincho" w:hAnsi="Garamond" w:cs="Times New Roman"/>
          <w:iCs/>
          <w:color w:val="000000" w:themeColor="text1"/>
          <w:sz w:val="24"/>
          <w:szCs w:val="24"/>
          <w:lang w:eastAsia="it-IT"/>
        </w:rPr>
        <w:t xml:space="preserve">ei principi di </w:t>
      </w:r>
      <w:r w:rsidR="004521B6" w:rsidRPr="002B57BA">
        <w:rPr>
          <w:rFonts w:ascii="Garamond" w:eastAsia="MS Mincho" w:hAnsi="Garamond" w:cs="Times New Roman"/>
          <w:iCs/>
          <w:color w:val="000000" w:themeColor="text1"/>
          <w:sz w:val="24"/>
          <w:szCs w:val="24"/>
          <w:lang w:eastAsia="it-IT"/>
        </w:rPr>
        <w:t xml:space="preserve">efficacia e efficienza </w:t>
      </w:r>
      <w:r w:rsidR="004521B6">
        <w:rPr>
          <w:rFonts w:ascii="Garamond" w:eastAsia="MS Mincho" w:hAnsi="Garamond" w:cs="Times New Roman"/>
          <w:iCs/>
          <w:color w:val="000000" w:themeColor="text1"/>
          <w:sz w:val="24"/>
          <w:szCs w:val="24"/>
          <w:lang w:eastAsia="it-IT"/>
        </w:rPr>
        <w:t xml:space="preserve">delle attività svolte, ha prevalentemente </w:t>
      </w:r>
      <w:r w:rsidR="004521B6" w:rsidRPr="002B57BA">
        <w:rPr>
          <w:rFonts w:ascii="Garamond" w:eastAsia="MS Mincho" w:hAnsi="Garamond" w:cs="Times New Roman"/>
          <w:iCs/>
          <w:color w:val="000000" w:themeColor="text1"/>
          <w:sz w:val="24"/>
          <w:szCs w:val="24"/>
          <w:lang w:eastAsia="it-IT"/>
        </w:rPr>
        <w:t xml:space="preserve">esigenze </w:t>
      </w:r>
      <w:r w:rsidR="004521B6">
        <w:rPr>
          <w:rFonts w:ascii="Garamond" w:eastAsia="MS Mincho" w:hAnsi="Garamond" w:cs="Times New Roman"/>
          <w:iCs/>
          <w:color w:val="000000" w:themeColor="text1"/>
          <w:sz w:val="24"/>
          <w:szCs w:val="24"/>
          <w:lang w:eastAsia="it-IT"/>
        </w:rPr>
        <w:t xml:space="preserve">di equilibrio economico e finanziario </w:t>
      </w:r>
      <w:r w:rsidR="004521B6" w:rsidRPr="002B57BA">
        <w:rPr>
          <w:rFonts w:ascii="Garamond" w:eastAsia="MS Mincho" w:hAnsi="Garamond" w:cs="Times New Roman"/>
          <w:iCs/>
          <w:color w:val="000000" w:themeColor="text1"/>
          <w:sz w:val="24"/>
          <w:szCs w:val="24"/>
          <w:lang w:eastAsia="it-IT"/>
        </w:rPr>
        <w:t>di funzionamento</w:t>
      </w:r>
      <w:r w:rsidR="004521B6">
        <w:rPr>
          <w:rFonts w:ascii="Garamond" w:eastAsia="MS Mincho" w:hAnsi="Garamond" w:cs="Times New Roman"/>
          <w:iCs/>
          <w:color w:val="000000" w:themeColor="text1"/>
          <w:sz w:val="24"/>
          <w:szCs w:val="24"/>
          <w:lang w:eastAsia="it-IT"/>
        </w:rPr>
        <w:t xml:space="preserve">; </w:t>
      </w:r>
    </w:p>
    <w:p w14:paraId="5B740C8B" w14:textId="2A12F604" w:rsidR="00E32D3B" w:rsidRPr="002B57BA" w:rsidRDefault="00045863" w:rsidP="002B57BA">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sidRPr="00990C45">
        <w:rPr>
          <w:rFonts w:ascii="Garamond" w:eastAsia="MS Mincho" w:hAnsi="Garamond" w:cs="Times New Roman"/>
          <w:iCs/>
          <w:color w:val="000000" w:themeColor="text1"/>
          <w:sz w:val="24"/>
          <w:szCs w:val="24"/>
          <w:lang w:eastAsia="it-IT"/>
        </w:rPr>
        <w:t>Il</w:t>
      </w:r>
      <w:r w:rsidR="00DC75E1" w:rsidRPr="00990C45">
        <w:rPr>
          <w:rFonts w:ascii="Garamond" w:eastAsia="MS Mincho" w:hAnsi="Garamond" w:cs="Times New Roman"/>
          <w:iCs/>
          <w:color w:val="000000" w:themeColor="text1"/>
          <w:sz w:val="24"/>
          <w:szCs w:val="24"/>
          <w:lang w:eastAsia="it-IT"/>
        </w:rPr>
        <w:t xml:space="preserve"> </w:t>
      </w:r>
      <w:r w:rsidR="00DC75E1" w:rsidRPr="00114350">
        <w:rPr>
          <w:rFonts w:ascii="Garamond" w:eastAsia="MS Mincho" w:hAnsi="Garamond" w:cs="Times New Roman"/>
          <w:b/>
          <w:bCs/>
          <w:i/>
          <w:color w:val="000000" w:themeColor="text1"/>
          <w:sz w:val="24"/>
          <w:szCs w:val="24"/>
          <w:lang w:eastAsia="it-IT"/>
        </w:rPr>
        <w:t>R</w:t>
      </w:r>
      <w:r w:rsidR="00ED26DA" w:rsidRPr="00114350">
        <w:rPr>
          <w:rFonts w:ascii="Garamond" w:eastAsia="MS Mincho" w:hAnsi="Garamond" w:cs="Times New Roman"/>
          <w:b/>
          <w:bCs/>
          <w:i/>
          <w:color w:val="000000" w:themeColor="text1"/>
          <w:sz w:val="24"/>
          <w:szCs w:val="24"/>
          <w:lang w:eastAsia="it-IT"/>
        </w:rPr>
        <w:t>OE</w:t>
      </w:r>
      <w:r w:rsidR="00ED26DA">
        <w:rPr>
          <w:rFonts w:ascii="Garamond" w:eastAsia="MS Mincho" w:hAnsi="Garamond" w:cs="Times New Roman"/>
          <w:b/>
          <w:bCs/>
          <w:iCs/>
          <w:color w:val="000000" w:themeColor="text1"/>
          <w:sz w:val="24"/>
          <w:szCs w:val="24"/>
          <w:lang w:eastAsia="it-IT"/>
        </w:rPr>
        <w:t>,</w:t>
      </w:r>
      <w:r w:rsidR="00DC75E1" w:rsidRPr="00990C45">
        <w:rPr>
          <w:rFonts w:ascii="Garamond" w:eastAsia="MS Mincho" w:hAnsi="Garamond" w:cs="Times New Roman"/>
          <w:iCs/>
          <w:color w:val="000000" w:themeColor="text1"/>
          <w:sz w:val="24"/>
          <w:szCs w:val="24"/>
          <w:lang w:eastAsia="it-IT"/>
        </w:rPr>
        <w:t xml:space="preserve"> </w:t>
      </w:r>
      <w:r w:rsidR="00ED26DA">
        <w:rPr>
          <w:rFonts w:ascii="Garamond" w:eastAsia="MS Mincho" w:hAnsi="Garamond" w:cs="Times New Roman"/>
          <w:iCs/>
          <w:color w:val="000000" w:themeColor="text1"/>
          <w:sz w:val="24"/>
          <w:szCs w:val="24"/>
          <w:lang w:eastAsia="it-IT"/>
        </w:rPr>
        <w:t xml:space="preserve">indice </w:t>
      </w:r>
      <w:r w:rsidR="00DC75E1" w:rsidRPr="00990C45">
        <w:rPr>
          <w:rFonts w:ascii="Garamond" w:eastAsia="MS Mincho" w:hAnsi="Garamond" w:cs="Times New Roman"/>
          <w:iCs/>
          <w:color w:val="000000" w:themeColor="text1"/>
          <w:sz w:val="24"/>
          <w:szCs w:val="24"/>
          <w:lang w:eastAsia="it-IT"/>
        </w:rPr>
        <w:t xml:space="preserve">che rappresenta </w:t>
      </w:r>
      <w:r w:rsidR="00ED26DA">
        <w:rPr>
          <w:rFonts w:ascii="Garamond" w:eastAsia="MS Mincho" w:hAnsi="Garamond" w:cs="Times New Roman"/>
          <w:iCs/>
          <w:color w:val="000000" w:themeColor="text1"/>
          <w:sz w:val="24"/>
          <w:szCs w:val="24"/>
          <w:lang w:eastAsia="it-IT"/>
        </w:rPr>
        <w:t xml:space="preserve">la </w:t>
      </w:r>
      <w:r w:rsidR="00DC75E1" w:rsidRPr="00990C45">
        <w:rPr>
          <w:rFonts w:ascii="Garamond" w:eastAsia="MS Mincho" w:hAnsi="Garamond" w:cs="Times New Roman"/>
          <w:iCs/>
          <w:color w:val="000000" w:themeColor="text1"/>
          <w:sz w:val="24"/>
          <w:szCs w:val="24"/>
          <w:lang w:eastAsia="it-IT"/>
        </w:rPr>
        <w:t>redditività del capitale proprio</w:t>
      </w:r>
      <w:r w:rsidR="00ED26DA">
        <w:rPr>
          <w:rFonts w:ascii="Garamond" w:eastAsia="MS Mincho" w:hAnsi="Garamond" w:cs="Times New Roman"/>
          <w:iCs/>
          <w:color w:val="000000" w:themeColor="text1"/>
          <w:sz w:val="24"/>
          <w:szCs w:val="24"/>
          <w:lang w:eastAsia="it-IT"/>
        </w:rPr>
        <w:t>,</w:t>
      </w:r>
      <w:r w:rsidR="00DC75E1" w:rsidRPr="00990C45">
        <w:rPr>
          <w:rFonts w:ascii="Garamond" w:eastAsia="MS Mincho" w:hAnsi="Garamond" w:cs="Times New Roman"/>
          <w:iCs/>
          <w:color w:val="000000" w:themeColor="text1"/>
          <w:sz w:val="24"/>
          <w:szCs w:val="24"/>
          <w:lang w:eastAsia="it-IT"/>
        </w:rPr>
        <w:t xml:space="preserve"> </w:t>
      </w:r>
      <w:r w:rsidR="00645214">
        <w:rPr>
          <w:rFonts w:ascii="Garamond" w:eastAsia="MS Mincho" w:hAnsi="Garamond" w:cs="Times New Roman"/>
          <w:iCs/>
          <w:color w:val="000000" w:themeColor="text1"/>
          <w:sz w:val="24"/>
          <w:szCs w:val="24"/>
          <w:lang w:eastAsia="it-IT"/>
        </w:rPr>
        <w:t>restituisce un valore de</w:t>
      </w:r>
      <w:r w:rsidR="00990C45">
        <w:rPr>
          <w:rFonts w:ascii="Garamond" w:eastAsia="MS Mincho" w:hAnsi="Garamond" w:cs="Times New Roman"/>
          <w:iCs/>
          <w:color w:val="000000" w:themeColor="text1"/>
          <w:sz w:val="24"/>
          <w:szCs w:val="24"/>
          <w:lang w:eastAsia="it-IT"/>
        </w:rPr>
        <w:t xml:space="preserve">l </w:t>
      </w:r>
      <w:r w:rsidR="00CA540F">
        <w:rPr>
          <w:rFonts w:ascii="Garamond" w:eastAsia="MS Mincho" w:hAnsi="Garamond" w:cs="Times New Roman"/>
          <w:iCs/>
          <w:color w:val="000000" w:themeColor="text1"/>
          <w:sz w:val="24"/>
          <w:szCs w:val="24"/>
          <w:lang w:eastAsia="it-IT"/>
        </w:rPr>
        <w:t>37,51%</w:t>
      </w:r>
      <w:r w:rsidR="00B840FE">
        <w:rPr>
          <w:rFonts w:ascii="Garamond" w:eastAsia="MS Mincho" w:hAnsi="Garamond" w:cs="Times New Roman"/>
          <w:iCs/>
          <w:color w:val="000000" w:themeColor="text1"/>
          <w:sz w:val="24"/>
          <w:szCs w:val="24"/>
          <w:lang w:eastAsia="it-IT"/>
        </w:rPr>
        <w:t xml:space="preserve"> (</w:t>
      </w:r>
      <w:r w:rsidR="00806986">
        <w:rPr>
          <w:rFonts w:ascii="Garamond" w:eastAsia="MS Mincho" w:hAnsi="Garamond" w:cs="Times New Roman"/>
          <w:iCs/>
          <w:color w:val="000000" w:themeColor="text1"/>
          <w:sz w:val="24"/>
          <w:szCs w:val="24"/>
          <w:lang w:eastAsia="it-IT"/>
        </w:rPr>
        <w:t xml:space="preserve">in </w:t>
      </w:r>
      <w:r w:rsidR="00CA540F">
        <w:rPr>
          <w:rFonts w:ascii="Garamond" w:eastAsia="MS Mincho" w:hAnsi="Garamond" w:cs="Times New Roman"/>
          <w:iCs/>
          <w:color w:val="000000" w:themeColor="text1"/>
          <w:sz w:val="24"/>
          <w:szCs w:val="24"/>
          <w:lang w:eastAsia="it-IT"/>
        </w:rPr>
        <w:t xml:space="preserve">diminuzione </w:t>
      </w:r>
      <w:r w:rsidR="00FD4844">
        <w:rPr>
          <w:rFonts w:ascii="Garamond" w:eastAsia="MS Mincho" w:hAnsi="Garamond" w:cs="Times New Roman"/>
          <w:iCs/>
          <w:color w:val="000000" w:themeColor="text1"/>
          <w:sz w:val="24"/>
          <w:szCs w:val="24"/>
          <w:lang w:eastAsia="it-IT"/>
        </w:rPr>
        <w:t xml:space="preserve"> rispetto al </w:t>
      </w:r>
      <w:r>
        <w:rPr>
          <w:rFonts w:ascii="Garamond" w:eastAsia="MS Mincho" w:hAnsi="Garamond" w:cs="Times New Roman"/>
          <w:iCs/>
          <w:color w:val="000000" w:themeColor="text1"/>
          <w:sz w:val="24"/>
          <w:szCs w:val="24"/>
          <w:lang w:eastAsia="it-IT"/>
        </w:rPr>
        <w:t>202</w:t>
      </w:r>
      <w:r w:rsidR="00AE08C9">
        <w:rPr>
          <w:rFonts w:ascii="Garamond" w:eastAsia="MS Mincho" w:hAnsi="Garamond" w:cs="Times New Roman"/>
          <w:iCs/>
          <w:color w:val="000000" w:themeColor="text1"/>
          <w:sz w:val="24"/>
          <w:szCs w:val="24"/>
          <w:lang w:eastAsia="it-IT"/>
        </w:rPr>
        <w:t>3</w:t>
      </w:r>
      <w:r>
        <w:rPr>
          <w:rFonts w:ascii="Garamond" w:eastAsia="MS Mincho" w:hAnsi="Garamond" w:cs="Times New Roman"/>
          <w:iCs/>
          <w:color w:val="000000" w:themeColor="text1"/>
          <w:sz w:val="24"/>
          <w:szCs w:val="24"/>
          <w:lang w:eastAsia="it-IT"/>
        </w:rPr>
        <w:t>)</w:t>
      </w:r>
      <w:r w:rsidR="00645214">
        <w:rPr>
          <w:rFonts w:ascii="Garamond" w:eastAsia="MS Mincho" w:hAnsi="Garamond" w:cs="Times New Roman"/>
          <w:iCs/>
          <w:color w:val="000000" w:themeColor="text1"/>
          <w:sz w:val="24"/>
          <w:szCs w:val="24"/>
          <w:lang w:eastAsia="it-IT"/>
        </w:rPr>
        <w:t xml:space="preserve"> evidenzia un’</w:t>
      </w:r>
      <w:r w:rsidR="002B57BA">
        <w:rPr>
          <w:rFonts w:ascii="Garamond" w:eastAsia="MS Mincho" w:hAnsi="Garamond" w:cs="Times New Roman"/>
          <w:iCs/>
          <w:color w:val="000000" w:themeColor="text1"/>
          <w:sz w:val="24"/>
          <w:szCs w:val="24"/>
          <w:lang w:eastAsia="it-IT"/>
        </w:rPr>
        <w:t>ottim</w:t>
      </w:r>
      <w:r w:rsidR="00645214">
        <w:rPr>
          <w:rFonts w:ascii="Garamond" w:eastAsia="MS Mincho" w:hAnsi="Garamond" w:cs="Times New Roman"/>
          <w:iCs/>
          <w:color w:val="000000" w:themeColor="text1"/>
          <w:sz w:val="24"/>
          <w:szCs w:val="24"/>
          <w:lang w:eastAsia="it-IT"/>
        </w:rPr>
        <w:t xml:space="preserve">a </w:t>
      </w:r>
      <w:r w:rsidR="002B57BA">
        <w:rPr>
          <w:rFonts w:ascii="Garamond" w:eastAsia="MS Mincho" w:hAnsi="Garamond" w:cs="Times New Roman"/>
          <w:iCs/>
          <w:color w:val="000000" w:themeColor="text1"/>
          <w:sz w:val="24"/>
          <w:szCs w:val="24"/>
          <w:lang w:eastAsia="it-IT"/>
        </w:rPr>
        <w:t>redditività</w:t>
      </w:r>
      <w:r w:rsidR="00D50B9D">
        <w:rPr>
          <w:rFonts w:ascii="Garamond" w:eastAsia="MS Mincho" w:hAnsi="Garamond" w:cs="Times New Roman"/>
          <w:iCs/>
          <w:color w:val="000000" w:themeColor="text1"/>
          <w:sz w:val="24"/>
          <w:szCs w:val="24"/>
          <w:lang w:eastAsia="it-IT"/>
        </w:rPr>
        <w:t xml:space="preserve"> per </w:t>
      </w:r>
      <w:r w:rsidR="002443CE">
        <w:rPr>
          <w:rFonts w:ascii="Garamond" w:eastAsia="MS Mincho" w:hAnsi="Garamond" w:cs="Times New Roman"/>
          <w:iCs/>
          <w:color w:val="000000" w:themeColor="text1"/>
          <w:sz w:val="24"/>
          <w:szCs w:val="24"/>
          <w:lang w:eastAsia="it-IT"/>
        </w:rPr>
        <w:t>il socio</w:t>
      </w:r>
      <w:r w:rsidR="00990C45">
        <w:rPr>
          <w:rFonts w:ascii="Garamond" w:eastAsia="MS Mincho" w:hAnsi="Garamond" w:cs="Times New Roman"/>
          <w:iCs/>
          <w:color w:val="000000" w:themeColor="text1"/>
          <w:sz w:val="24"/>
          <w:szCs w:val="24"/>
          <w:lang w:eastAsia="it-IT"/>
        </w:rPr>
        <w:t xml:space="preserve">. </w:t>
      </w:r>
      <w:r w:rsidR="002B57BA" w:rsidRPr="002B57BA">
        <w:rPr>
          <w:rFonts w:ascii="Garamond" w:eastAsia="MS Mincho" w:hAnsi="Garamond" w:cs="Times New Roman"/>
          <w:iCs/>
          <w:color w:val="000000" w:themeColor="text1"/>
          <w:sz w:val="24"/>
          <w:szCs w:val="24"/>
          <w:lang w:eastAsia="it-IT"/>
        </w:rPr>
        <w:t>Va peraltro sottolineato che s</w:t>
      </w:r>
      <w:r w:rsidR="00990C45" w:rsidRPr="002B57BA">
        <w:rPr>
          <w:rFonts w:ascii="Garamond" w:eastAsia="MS Mincho" w:hAnsi="Garamond" w:cs="Times New Roman"/>
          <w:iCs/>
          <w:color w:val="000000" w:themeColor="text1"/>
          <w:sz w:val="24"/>
          <w:szCs w:val="24"/>
          <w:lang w:eastAsia="it-IT"/>
        </w:rPr>
        <w:t xml:space="preserve">tante la natura </w:t>
      </w:r>
      <w:r w:rsidR="002B57BA" w:rsidRPr="002B57BA">
        <w:rPr>
          <w:rFonts w:ascii="Garamond" w:eastAsia="MS Mincho" w:hAnsi="Garamond" w:cs="Times New Roman"/>
          <w:iCs/>
          <w:color w:val="000000" w:themeColor="text1"/>
          <w:sz w:val="24"/>
          <w:szCs w:val="24"/>
          <w:lang w:eastAsia="it-IT"/>
        </w:rPr>
        <w:t xml:space="preserve">di società </w:t>
      </w:r>
      <w:r w:rsidR="002B57BA" w:rsidRPr="002B57BA">
        <w:rPr>
          <w:rFonts w:ascii="Garamond" w:eastAsia="MS Mincho" w:hAnsi="Garamond" w:cs="Times New Roman"/>
          <w:i/>
          <w:color w:val="000000" w:themeColor="text1"/>
          <w:sz w:val="24"/>
          <w:szCs w:val="24"/>
          <w:lang w:eastAsia="it-IT"/>
        </w:rPr>
        <w:t>in house di</w:t>
      </w:r>
      <w:r w:rsidR="002B57BA" w:rsidRPr="002B57BA">
        <w:rPr>
          <w:rFonts w:ascii="Garamond" w:eastAsia="MS Mincho" w:hAnsi="Garamond" w:cs="Times New Roman"/>
          <w:iCs/>
          <w:color w:val="000000" w:themeColor="text1"/>
          <w:sz w:val="24"/>
          <w:szCs w:val="24"/>
          <w:lang w:eastAsia="it-IT"/>
        </w:rPr>
        <w:t xml:space="preserve"> Civita.s</w:t>
      </w:r>
      <w:r w:rsidR="00990C45" w:rsidRPr="002B57BA">
        <w:rPr>
          <w:rFonts w:ascii="Garamond" w:eastAsia="MS Mincho" w:hAnsi="Garamond" w:cs="Times New Roman"/>
          <w:iCs/>
          <w:color w:val="000000" w:themeColor="text1"/>
          <w:sz w:val="24"/>
          <w:szCs w:val="24"/>
          <w:lang w:eastAsia="it-IT"/>
        </w:rPr>
        <w:t xml:space="preserve"> </w:t>
      </w:r>
      <w:r w:rsidR="002B57BA" w:rsidRPr="002B57BA">
        <w:rPr>
          <w:rFonts w:ascii="Garamond" w:eastAsia="MS Mincho" w:hAnsi="Garamond" w:cs="Times New Roman"/>
          <w:iCs/>
          <w:color w:val="000000" w:themeColor="text1"/>
          <w:sz w:val="24"/>
          <w:szCs w:val="24"/>
          <w:lang w:eastAsia="it-IT"/>
        </w:rPr>
        <w:t>detto paramet</w:t>
      </w:r>
      <w:r w:rsidR="002B57BA">
        <w:rPr>
          <w:rFonts w:ascii="Garamond" w:eastAsia="MS Mincho" w:hAnsi="Garamond" w:cs="Times New Roman"/>
          <w:iCs/>
          <w:color w:val="000000" w:themeColor="text1"/>
          <w:sz w:val="24"/>
          <w:szCs w:val="24"/>
          <w:lang w:eastAsia="it-IT"/>
        </w:rPr>
        <w:t>ro</w:t>
      </w:r>
      <w:r w:rsidR="00990C45" w:rsidRPr="002B57BA">
        <w:rPr>
          <w:rFonts w:ascii="Garamond" w:eastAsia="MS Mincho" w:hAnsi="Garamond" w:cs="Times New Roman"/>
          <w:iCs/>
          <w:color w:val="000000" w:themeColor="text1"/>
          <w:sz w:val="24"/>
          <w:szCs w:val="24"/>
          <w:lang w:eastAsia="it-IT"/>
        </w:rPr>
        <w:t xml:space="preserve"> non ha un significato specifico in ragione della natura pubblica dell’attività che svolge per la quale il socio ha esigenze predominanti di funzionamento di efficacia e efficienza rispetto alla remun</w:t>
      </w:r>
      <w:r w:rsidR="002B57BA">
        <w:rPr>
          <w:rFonts w:ascii="Garamond" w:eastAsia="MS Mincho" w:hAnsi="Garamond" w:cs="Times New Roman"/>
          <w:iCs/>
          <w:color w:val="000000" w:themeColor="text1"/>
          <w:sz w:val="24"/>
          <w:szCs w:val="24"/>
          <w:lang w:eastAsia="it-IT"/>
        </w:rPr>
        <w:t>erazione del capitale investito.</w:t>
      </w:r>
      <w:r w:rsidR="00990C45" w:rsidRPr="002B57BA">
        <w:rPr>
          <w:rFonts w:ascii="Garamond" w:eastAsia="MS Mincho" w:hAnsi="Garamond" w:cs="Times New Roman"/>
          <w:iCs/>
          <w:color w:val="000000" w:themeColor="text1"/>
          <w:sz w:val="24"/>
          <w:szCs w:val="24"/>
          <w:lang w:eastAsia="it-IT"/>
        </w:rPr>
        <w:t xml:space="preserve"> </w:t>
      </w:r>
    </w:p>
    <w:p w14:paraId="4D7CF1D1" w14:textId="7CD919E4" w:rsidR="00E32D3B" w:rsidRDefault="006E3271" w:rsidP="00005B13">
      <w:pPr>
        <w:pStyle w:val="Paragrafoelenco"/>
        <w:numPr>
          <w:ilvl w:val="0"/>
          <w:numId w:val="13"/>
        </w:numPr>
        <w:spacing w:after="0" w:line="240" w:lineRule="auto"/>
        <w:jc w:val="both"/>
        <w:rPr>
          <w:rFonts w:ascii="Garamond" w:eastAsia="MS Mincho" w:hAnsi="Garamond" w:cs="Times New Roman"/>
          <w:iCs/>
          <w:color w:val="000000" w:themeColor="text1"/>
          <w:sz w:val="24"/>
          <w:szCs w:val="24"/>
          <w:lang w:eastAsia="it-IT"/>
        </w:rPr>
      </w:pPr>
      <w:r w:rsidRPr="00D33210">
        <w:rPr>
          <w:rFonts w:ascii="Garamond" w:eastAsia="MS Mincho" w:hAnsi="Garamond" w:cs="Times New Roman"/>
          <w:iCs/>
          <w:color w:val="000000" w:themeColor="text1"/>
          <w:sz w:val="24"/>
          <w:szCs w:val="24"/>
          <w:lang w:eastAsia="it-IT"/>
        </w:rPr>
        <w:lastRenderedPageBreak/>
        <w:t xml:space="preserve">Il </w:t>
      </w:r>
      <w:r w:rsidR="00D50B9D" w:rsidRPr="00114350">
        <w:rPr>
          <w:rFonts w:ascii="Garamond" w:eastAsia="MS Mincho" w:hAnsi="Garamond" w:cs="Times New Roman"/>
          <w:b/>
          <w:bCs/>
          <w:i/>
          <w:color w:val="000000" w:themeColor="text1"/>
          <w:sz w:val="24"/>
          <w:szCs w:val="24"/>
          <w:lang w:eastAsia="it-IT"/>
        </w:rPr>
        <w:t>ROI</w:t>
      </w:r>
      <w:r w:rsidR="00ED26DA">
        <w:rPr>
          <w:rFonts w:ascii="Garamond" w:eastAsia="MS Mincho" w:hAnsi="Garamond" w:cs="Times New Roman"/>
          <w:iCs/>
          <w:color w:val="000000" w:themeColor="text1"/>
          <w:sz w:val="24"/>
          <w:szCs w:val="24"/>
          <w:lang w:eastAsia="it-IT"/>
        </w:rPr>
        <w:t>, indice</w:t>
      </w:r>
      <w:r w:rsidR="00D33210">
        <w:rPr>
          <w:rFonts w:ascii="Garamond" w:eastAsia="MS Mincho" w:hAnsi="Garamond" w:cs="Times New Roman"/>
          <w:iCs/>
          <w:color w:val="000000" w:themeColor="text1"/>
          <w:sz w:val="24"/>
          <w:szCs w:val="24"/>
          <w:lang w:eastAsia="it-IT"/>
        </w:rPr>
        <w:t xml:space="preserve"> che rappresenta la redditività degli investimenti</w:t>
      </w:r>
      <w:r w:rsidR="00D50B9D" w:rsidRPr="00D33210">
        <w:rPr>
          <w:rFonts w:ascii="Garamond" w:eastAsia="MS Mincho" w:hAnsi="Garamond" w:cs="Times New Roman"/>
          <w:iCs/>
          <w:color w:val="000000" w:themeColor="text1"/>
          <w:sz w:val="24"/>
          <w:szCs w:val="24"/>
          <w:lang w:eastAsia="it-IT"/>
        </w:rPr>
        <w:t xml:space="preserve"> della società</w:t>
      </w:r>
      <w:r w:rsidR="00ED26DA">
        <w:rPr>
          <w:rFonts w:ascii="Garamond" w:eastAsia="MS Mincho" w:hAnsi="Garamond" w:cs="Times New Roman"/>
          <w:iCs/>
          <w:color w:val="000000" w:themeColor="text1"/>
          <w:sz w:val="24"/>
          <w:szCs w:val="24"/>
          <w:lang w:eastAsia="it-IT"/>
        </w:rPr>
        <w:t>,</w:t>
      </w:r>
      <w:r w:rsidR="00B840FE">
        <w:rPr>
          <w:rFonts w:ascii="Garamond" w:eastAsia="MS Mincho" w:hAnsi="Garamond" w:cs="Times New Roman"/>
          <w:iCs/>
          <w:color w:val="000000" w:themeColor="text1"/>
          <w:sz w:val="24"/>
          <w:szCs w:val="24"/>
          <w:lang w:eastAsia="it-IT"/>
        </w:rPr>
        <w:t xml:space="preserve"> nel periodo esaminato</w:t>
      </w:r>
      <w:r w:rsidR="00D33210">
        <w:rPr>
          <w:rFonts w:ascii="Garamond" w:eastAsia="MS Mincho" w:hAnsi="Garamond" w:cs="Times New Roman"/>
          <w:iCs/>
          <w:color w:val="000000" w:themeColor="text1"/>
          <w:sz w:val="24"/>
          <w:szCs w:val="24"/>
          <w:lang w:eastAsia="it-IT"/>
        </w:rPr>
        <w:t xml:space="preserve"> risulta</w:t>
      </w:r>
      <w:r w:rsidR="00D50B9D" w:rsidRPr="00D33210">
        <w:rPr>
          <w:rFonts w:ascii="Garamond" w:eastAsia="MS Mincho" w:hAnsi="Garamond" w:cs="Times New Roman"/>
          <w:iCs/>
          <w:color w:val="000000" w:themeColor="text1"/>
          <w:sz w:val="24"/>
          <w:szCs w:val="24"/>
          <w:lang w:eastAsia="it-IT"/>
        </w:rPr>
        <w:t xml:space="preserve"> costantemente positivo </w:t>
      </w:r>
      <w:r w:rsidR="00CA540F">
        <w:rPr>
          <w:rFonts w:ascii="Garamond" w:eastAsia="MS Mincho" w:hAnsi="Garamond" w:cs="Times New Roman"/>
          <w:iCs/>
          <w:color w:val="000000" w:themeColor="text1"/>
          <w:sz w:val="24"/>
          <w:szCs w:val="24"/>
          <w:lang w:eastAsia="it-IT"/>
        </w:rPr>
        <w:t xml:space="preserve">negli anni </w:t>
      </w:r>
      <w:r w:rsidR="00D33210">
        <w:rPr>
          <w:rFonts w:ascii="Garamond" w:eastAsia="MS Mincho" w:hAnsi="Garamond" w:cs="Times New Roman"/>
          <w:iCs/>
          <w:color w:val="000000" w:themeColor="text1"/>
          <w:sz w:val="24"/>
          <w:szCs w:val="24"/>
          <w:lang w:eastAsia="it-IT"/>
        </w:rPr>
        <w:t xml:space="preserve"> </w:t>
      </w:r>
    </w:p>
    <w:p w14:paraId="3421E022" w14:textId="3142D2DF" w:rsidR="004D0CF0" w:rsidRPr="00CA540F" w:rsidRDefault="00D33210" w:rsidP="00530F8D">
      <w:pPr>
        <w:pStyle w:val="Paragrafoelenco"/>
        <w:numPr>
          <w:ilvl w:val="0"/>
          <w:numId w:val="13"/>
        </w:numPr>
        <w:spacing w:after="0" w:line="240" w:lineRule="auto"/>
        <w:jc w:val="both"/>
        <w:rPr>
          <w:rFonts w:ascii="Garamond" w:eastAsia="MS Mincho" w:hAnsi="Garamond" w:cs="Times New Roman"/>
          <w:b/>
          <w:sz w:val="24"/>
          <w:szCs w:val="24"/>
          <w:lang w:eastAsia="it-IT"/>
        </w:rPr>
      </w:pPr>
      <w:r w:rsidRPr="00CA540F">
        <w:rPr>
          <w:rFonts w:ascii="Garamond" w:eastAsia="MS Mincho" w:hAnsi="Garamond" w:cs="Times New Roman"/>
          <w:iCs/>
          <w:color w:val="000000" w:themeColor="text1"/>
          <w:sz w:val="24"/>
          <w:szCs w:val="24"/>
          <w:lang w:eastAsia="it-IT"/>
        </w:rPr>
        <w:t xml:space="preserve">Il </w:t>
      </w:r>
      <w:r w:rsidRPr="00CA540F">
        <w:rPr>
          <w:rFonts w:ascii="Garamond" w:eastAsia="MS Mincho" w:hAnsi="Garamond" w:cs="Times New Roman"/>
          <w:b/>
          <w:bCs/>
          <w:i/>
          <w:color w:val="000000" w:themeColor="text1"/>
          <w:sz w:val="24"/>
          <w:szCs w:val="24"/>
          <w:lang w:eastAsia="it-IT"/>
        </w:rPr>
        <w:t>ROS</w:t>
      </w:r>
      <w:r w:rsidR="00ED26DA" w:rsidRPr="00CA540F">
        <w:rPr>
          <w:rFonts w:ascii="Garamond" w:eastAsia="MS Mincho" w:hAnsi="Garamond" w:cs="Times New Roman"/>
          <w:iCs/>
          <w:color w:val="000000" w:themeColor="text1"/>
          <w:sz w:val="24"/>
          <w:szCs w:val="24"/>
          <w:lang w:eastAsia="it-IT"/>
        </w:rPr>
        <w:t>,</w:t>
      </w:r>
      <w:r w:rsidRPr="00CA540F">
        <w:rPr>
          <w:rFonts w:ascii="Garamond" w:eastAsia="MS Mincho" w:hAnsi="Garamond" w:cs="Times New Roman"/>
          <w:iCs/>
          <w:color w:val="000000" w:themeColor="text1"/>
          <w:sz w:val="24"/>
          <w:szCs w:val="24"/>
          <w:lang w:eastAsia="it-IT"/>
        </w:rPr>
        <w:t xml:space="preserve"> ovvero il rapporto tra il risultato operativo e</w:t>
      </w:r>
      <w:r w:rsidR="00114350" w:rsidRPr="00CA540F">
        <w:rPr>
          <w:rFonts w:ascii="Garamond" w:eastAsia="MS Mincho" w:hAnsi="Garamond" w:cs="Times New Roman"/>
          <w:iCs/>
          <w:color w:val="000000" w:themeColor="text1"/>
          <w:sz w:val="24"/>
          <w:szCs w:val="24"/>
          <w:lang w:eastAsia="it-IT"/>
        </w:rPr>
        <w:t>d</w:t>
      </w:r>
      <w:r w:rsidRPr="00CA540F">
        <w:rPr>
          <w:rFonts w:ascii="Garamond" w:eastAsia="MS Mincho" w:hAnsi="Garamond" w:cs="Times New Roman"/>
          <w:iCs/>
          <w:color w:val="000000" w:themeColor="text1"/>
          <w:sz w:val="24"/>
          <w:szCs w:val="24"/>
          <w:lang w:eastAsia="it-IT"/>
        </w:rPr>
        <w:t xml:space="preserve"> i ricavi netti conseguiti nel periodo di tempo oggetto di osservazione</w:t>
      </w:r>
      <w:r w:rsidR="00F13C54" w:rsidRPr="00CA540F">
        <w:rPr>
          <w:rFonts w:ascii="Garamond" w:eastAsia="MS Mincho" w:hAnsi="Garamond" w:cs="Times New Roman"/>
          <w:iCs/>
          <w:color w:val="000000" w:themeColor="text1"/>
          <w:sz w:val="24"/>
          <w:szCs w:val="24"/>
          <w:lang w:eastAsia="it-IT"/>
        </w:rPr>
        <w:t>,</w:t>
      </w:r>
      <w:r w:rsidRPr="00CA540F">
        <w:rPr>
          <w:rFonts w:ascii="Garamond" w:eastAsia="MS Mincho" w:hAnsi="Garamond" w:cs="Times New Roman"/>
          <w:iCs/>
          <w:color w:val="000000" w:themeColor="text1"/>
          <w:sz w:val="24"/>
          <w:szCs w:val="24"/>
          <w:lang w:eastAsia="it-IT"/>
        </w:rPr>
        <w:t xml:space="preserve"> calcola la quantità di ricavo netto conseguito per ogni euro di fatturato in un certo periodo di tempo. Tanto più alto sarà l’indice ROS, tanto maggiore sarà l’efficienza dell’azienda analizzata nel generare profitti rispetto al fatturato conseguito</w:t>
      </w:r>
      <w:r w:rsidR="00F13C54" w:rsidRPr="00CA540F">
        <w:rPr>
          <w:rFonts w:ascii="Garamond" w:eastAsia="MS Mincho" w:hAnsi="Garamond" w:cs="Times New Roman"/>
          <w:iCs/>
          <w:color w:val="000000" w:themeColor="text1"/>
          <w:sz w:val="24"/>
          <w:szCs w:val="24"/>
          <w:lang w:eastAsia="it-IT"/>
        </w:rPr>
        <w:t xml:space="preserve">. Il Ros </w:t>
      </w:r>
      <w:r w:rsidR="00B840FE" w:rsidRPr="00CA540F">
        <w:rPr>
          <w:rFonts w:ascii="Garamond" w:eastAsia="MS Mincho" w:hAnsi="Garamond" w:cs="Times New Roman"/>
          <w:iCs/>
          <w:color w:val="000000" w:themeColor="text1"/>
          <w:sz w:val="24"/>
          <w:szCs w:val="24"/>
          <w:lang w:eastAsia="it-IT"/>
        </w:rPr>
        <w:t xml:space="preserve">nel periodo esaminato </w:t>
      </w:r>
      <w:r w:rsidR="00F13C54" w:rsidRPr="00CA540F">
        <w:rPr>
          <w:rFonts w:ascii="Garamond" w:eastAsia="MS Mincho" w:hAnsi="Garamond" w:cs="Times New Roman"/>
          <w:iCs/>
          <w:color w:val="000000" w:themeColor="text1"/>
          <w:sz w:val="24"/>
          <w:szCs w:val="24"/>
          <w:lang w:eastAsia="it-IT"/>
        </w:rPr>
        <w:t>risulta costantemente positivo</w:t>
      </w:r>
      <w:r w:rsidR="00FD4844" w:rsidRPr="00CA540F">
        <w:rPr>
          <w:rFonts w:ascii="Garamond" w:eastAsia="MS Mincho" w:hAnsi="Garamond" w:cs="Times New Roman"/>
          <w:iCs/>
          <w:color w:val="000000" w:themeColor="text1"/>
          <w:sz w:val="24"/>
          <w:szCs w:val="24"/>
          <w:lang w:eastAsia="it-IT"/>
        </w:rPr>
        <w:t xml:space="preserve"> </w:t>
      </w:r>
    </w:p>
    <w:p w14:paraId="02D093AA" w14:textId="7F8B2EE2" w:rsidR="00353792" w:rsidRDefault="00353792" w:rsidP="004D0CF0">
      <w:pPr>
        <w:spacing w:after="0" w:line="240" w:lineRule="auto"/>
        <w:jc w:val="both"/>
        <w:rPr>
          <w:rFonts w:ascii="Garamond" w:eastAsia="MS Mincho" w:hAnsi="Garamond" w:cs="Times New Roman"/>
          <w:b/>
          <w:smallCaps/>
          <w:sz w:val="24"/>
          <w:szCs w:val="24"/>
          <w:lang w:eastAsia="it-IT"/>
        </w:rPr>
      </w:pPr>
      <w:r>
        <w:t>Dall’analisi svolta sulla base degli indicatori sopra individuati si può senza alcun dubbio sostenere che la società si trovi in una situazione di continuità aziendale, che si sono evidenziati valori dei suddetti indicatori coerenti con tale stato e che l’organo amministrativo non ha rilevato profili di rischio di crisi aziendale in relazione ai suddetti indicatori condiderati</w:t>
      </w:r>
    </w:p>
    <w:p w14:paraId="6678B447" w14:textId="77777777" w:rsidR="000773DE" w:rsidRDefault="000773DE" w:rsidP="004D0CF0">
      <w:pPr>
        <w:spacing w:after="0" w:line="240" w:lineRule="auto"/>
        <w:jc w:val="both"/>
        <w:rPr>
          <w:rFonts w:ascii="Garamond" w:eastAsia="MS Mincho" w:hAnsi="Garamond" w:cs="Times New Roman"/>
          <w:b/>
          <w:smallCaps/>
          <w:sz w:val="24"/>
          <w:szCs w:val="24"/>
          <w:lang w:eastAsia="it-IT"/>
        </w:rPr>
      </w:pPr>
    </w:p>
    <w:p w14:paraId="12A04887" w14:textId="0F235DA0" w:rsidR="004D0CF0" w:rsidRDefault="004D0CF0" w:rsidP="004D0CF0">
      <w:pPr>
        <w:spacing w:after="0" w:line="240" w:lineRule="auto"/>
        <w:jc w:val="both"/>
        <w:rPr>
          <w:rFonts w:ascii="Garamond" w:eastAsia="MS Mincho" w:hAnsi="Garamond" w:cs="Times New Roman"/>
          <w:smallCaps/>
          <w:sz w:val="24"/>
          <w:szCs w:val="24"/>
          <w:lang w:eastAsia="it-IT"/>
        </w:rPr>
      </w:pPr>
      <w:r w:rsidRPr="004D0CF0">
        <w:rPr>
          <w:rFonts w:ascii="Garamond" w:eastAsia="MS Mincho" w:hAnsi="Garamond" w:cs="Times New Roman"/>
          <w:b/>
          <w:smallCaps/>
          <w:sz w:val="24"/>
          <w:szCs w:val="24"/>
          <w:lang w:eastAsia="it-IT"/>
        </w:rPr>
        <w:t>7.</w:t>
      </w:r>
      <w:r w:rsidRPr="004D0CF0">
        <w:rPr>
          <w:rFonts w:ascii="Garamond" w:eastAsia="MS Mincho" w:hAnsi="Garamond" w:cs="Times New Roman"/>
          <w:b/>
          <w:smallCaps/>
          <w:sz w:val="24"/>
          <w:szCs w:val="24"/>
          <w:lang w:eastAsia="it-IT"/>
        </w:rPr>
        <w:tab/>
        <w:t>Conclusioni</w:t>
      </w:r>
      <w:r w:rsidRPr="004D0CF0">
        <w:rPr>
          <w:rFonts w:ascii="Garamond" w:eastAsia="MS Mincho" w:hAnsi="Garamond" w:cs="Times New Roman"/>
          <w:smallCaps/>
          <w:sz w:val="24"/>
          <w:szCs w:val="24"/>
          <w:lang w:eastAsia="it-IT"/>
        </w:rPr>
        <w:t>.</w:t>
      </w:r>
    </w:p>
    <w:p w14:paraId="5ACB89EE" w14:textId="77777777" w:rsidR="00005B13" w:rsidRPr="004D0CF0" w:rsidRDefault="00005B13" w:rsidP="004D0CF0">
      <w:pPr>
        <w:spacing w:after="0" w:line="240" w:lineRule="auto"/>
        <w:jc w:val="both"/>
        <w:rPr>
          <w:rFonts w:ascii="Garamond" w:eastAsia="MS Mincho" w:hAnsi="Garamond" w:cs="Arial"/>
          <w:smallCaps/>
          <w:sz w:val="24"/>
          <w:szCs w:val="24"/>
          <w:lang w:eastAsia="it-IT"/>
        </w:rPr>
      </w:pPr>
    </w:p>
    <w:p w14:paraId="0876E674" w14:textId="57F57F9C" w:rsidR="004D0CF0" w:rsidRPr="00AF3C14" w:rsidRDefault="00B00E18" w:rsidP="004D0CF0">
      <w:pPr>
        <w:spacing w:after="0" w:line="240" w:lineRule="auto"/>
        <w:jc w:val="both"/>
        <w:rPr>
          <w:rFonts w:ascii="Garamond" w:eastAsia="MS Mincho" w:hAnsi="Garamond" w:cs="Times New Roman"/>
          <w:iCs/>
          <w:sz w:val="24"/>
          <w:szCs w:val="24"/>
          <w:lang w:eastAsia="it-IT"/>
        </w:rPr>
      </w:pPr>
      <w:r w:rsidRPr="00B00E18">
        <w:rPr>
          <w:rFonts w:ascii="Garamond" w:eastAsia="MS Mincho" w:hAnsi="Garamond" w:cs="Times New Roman"/>
          <w:sz w:val="24"/>
          <w:szCs w:val="24"/>
          <w:lang w:eastAsia="it-IT"/>
        </w:rPr>
        <w:t>I risultati dell’attività di monitoraggio condotta in funzione degli adempimenti prescritti ex art. 6, co. 2 e 14, co. 2, 3, 4, 5 del d.lgs. 175/2016 inducono l’organo amministrativo a ritenere che il rischio di crisi aziendale relativo alla Società sia da escludere.</w:t>
      </w:r>
    </w:p>
    <w:p w14:paraId="5473B466" w14:textId="77777777" w:rsidR="004D0CF0" w:rsidRPr="004D0CF0" w:rsidRDefault="004D0CF0" w:rsidP="004D0CF0">
      <w:pPr>
        <w:spacing w:after="0" w:line="240" w:lineRule="auto"/>
        <w:jc w:val="both"/>
        <w:rPr>
          <w:rFonts w:ascii="Garamond" w:eastAsia="MS Mincho" w:hAnsi="Garamond" w:cs="Times New Roman"/>
          <w:i/>
          <w:sz w:val="24"/>
          <w:szCs w:val="24"/>
          <w:highlight w:val="cyan"/>
          <w:lang w:eastAsia="it-IT"/>
        </w:rPr>
      </w:pPr>
    </w:p>
    <w:p w14:paraId="5502122B" w14:textId="77777777" w:rsidR="00AF3C14" w:rsidRPr="00AF3C14" w:rsidRDefault="00AF3C14" w:rsidP="004D0CF0">
      <w:pPr>
        <w:spacing w:after="0" w:line="240" w:lineRule="auto"/>
        <w:jc w:val="both"/>
        <w:rPr>
          <w:rFonts w:ascii="Garamond" w:eastAsia="MS Mincho" w:hAnsi="Garamond" w:cs="Times New Roman"/>
          <w:iCs/>
          <w:color w:val="000000" w:themeColor="text1"/>
          <w:sz w:val="24"/>
          <w:szCs w:val="24"/>
          <w:lang w:eastAsia="it-IT"/>
        </w:rPr>
      </w:pPr>
    </w:p>
    <w:p w14:paraId="2AEA5170" w14:textId="77777777" w:rsidR="00C25998" w:rsidRDefault="00C25998" w:rsidP="004D0CF0">
      <w:pPr>
        <w:spacing w:after="0" w:line="240" w:lineRule="auto"/>
        <w:jc w:val="both"/>
        <w:rPr>
          <w:rFonts w:ascii="Garamond" w:eastAsia="MS Mincho" w:hAnsi="Garamond" w:cs="Times New Roman"/>
          <w:i/>
          <w:color w:val="00B0F0"/>
          <w:sz w:val="24"/>
          <w:szCs w:val="24"/>
          <w:lang w:eastAsia="it-IT"/>
        </w:rPr>
      </w:pPr>
    </w:p>
    <w:p w14:paraId="7A430B2D" w14:textId="77777777" w:rsidR="004D0CF0" w:rsidRPr="003415B0" w:rsidRDefault="004D0CF0" w:rsidP="004D0CF0">
      <w:pPr>
        <w:spacing w:after="0" w:line="240" w:lineRule="auto"/>
        <w:ind w:left="360" w:hanging="360"/>
        <w:jc w:val="both"/>
        <w:rPr>
          <w:rFonts w:ascii="Garamond" w:eastAsia="MS Mincho" w:hAnsi="Garamond" w:cs="Times New Roman"/>
          <w:b/>
          <w:sz w:val="28"/>
          <w:szCs w:val="28"/>
          <w:lang w:eastAsia="it-IT"/>
        </w:rPr>
      </w:pPr>
      <w:r w:rsidRPr="003415B0">
        <w:rPr>
          <w:rFonts w:ascii="Garamond" w:eastAsia="MS Mincho" w:hAnsi="Garamond" w:cs="Times New Roman"/>
          <w:b/>
          <w:sz w:val="28"/>
          <w:szCs w:val="28"/>
          <w:lang w:eastAsia="it-IT"/>
        </w:rPr>
        <w:t>C.</w:t>
      </w:r>
      <w:r w:rsidRPr="003415B0">
        <w:rPr>
          <w:rFonts w:ascii="Garamond" w:eastAsia="MS Mincho" w:hAnsi="Garamond" w:cs="Times New Roman"/>
          <w:b/>
          <w:sz w:val="28"/>
          <w:szCs w:val="28"/>
          <w:lang w:eastAsia="it-IT"/>
        </w:rPr>
        <w:tab/>
        <w:t>STRUMENTI INTEGRATIVI DI GOVERNO SOCIETARIO.</w:t>
      </w:r>
    </w:p>
    <w:p w14:paraId="7910C736" w14:textId="77777777" w:rsidR="004D0CF0" w:rsidRPr="00114350" w:rsidRDefault="004D0CF0" w:rsidP="004D0CF0">
      <w:pPr>
        <w:spacing w:after="0" w:line="240" w:lineRule="auto"/>
        <w:ind w:left="360" w:hanging="360"/>
        <w:jc w:val="both"/>
        <w:rPr>
          <w:rFonts w:ascii="Garamond" w:eastAsia="MS Mincho" w:hAnsi="Garamond" w:cs="Times New Roman"/>
          <w:b/>
          <w:sz w:val="28"/>
          <w:szCs w:val="28"/>
          <w:highlight w:val="yellow"/>
          <w:lang w:eastAsia="it-IT"/>
        </w:rPr>
      </w:pPr>
    </w:p>
    <w:p w14:paraId="13B76B37" w14:textId="77777777" w:rsidR="004D0CF0" w:rsidRPr="003415B0" w:rsidRDefault="004D0CF0" w:rsidP="004D0CF0">
      <w:pPr>
        <w:spacing w:after="0" w:line="240" w:lineRule="auto"/>
        <w:jc w:val="both"/>
        <w:rPr>
          <w:rFonts w:ascii="Garamond" w:eastAsia="MS Mincho" w:hAnsi="Garamond" w:cs="Times New Roman"/>
          <w:sz w:val="24"/>
          <w:szCs w:val="24"/>
          <w:lang w:eastAsia="it-IT"/>
        </w:rPr>
      </w:pPr>
      <w:r w:rsidRPr="003415B0">
        <w:rPr>
          <w:rFonts w:ascii="Garamond" w:eastAsia="MS Mincho" w:hAnsi="Garamond" w:cs="Times New Roman"/>
          <w:sz w:val="24"/>
          <w:szCs w:val="24"/>
          <w:lang w:eastAsia="it-IT"/>
        </w:rPr>
        <w:t>Ai sensi dell’art. 6, co. 3 del d.lgs. 175/2016:</w:t>
      </w:r>
    </w:p>
    <w:p w14:paraId="7E98D58C" w14:textId="77777777" w:rsidR="004D0CF0" w:rsidRPr="003415B0" w:rsidRDefault="004D0CF0" w:rsidP="004D0CF0">
      <w:pPr>
        <w:spacing w:after="0" w:line="240" w:lineRule="auto"/>
        <w:jc w:val="both"/>
        <w:rPr>
          <w:rFonts w:ascii="Garamond" w:eastAsia="MS Mincho" w:hAnsi="Garamond" w:cs="Times New Roman"/>
          <w:i/>
          <w:sz w:val="24"/>
          <w:szCs w:val="24"/>
          <w:lang w:eastAsia="it-IT"/>
        </w:rPr>
      </w:pPr>
      <w:r w:rsidRPr="003415B0">
        <w:rPr>
          <w:rFonts w:ascii="Garamond" w:eastAsia="MS Mincho" w:hAnsi="Garamond" w:cs="Times New Roman"/>
          <w:sz w:val="24"/>
          <w:szCs w:val="24"/>
          <w:lang w:eastAsia="it-IT"/>
        </w:rPr>
        <w:t>“</w:t>
      </w:r>
      <w:r w:rsidRPr="003415B0">
        <w:rPr>
          <w:rFonts w:ascii="Garamond" w:eastAsia="MS Mincho" w:hAnsi="Garamond" w:cs="Times New Roman"/>
          <w:i/>
          <w:sz w:val="24"/>
          <w:szCs w:val="24"/>
          <w:lang w:eastAsia="it-IT"/>
        </w:rPr>
        <w:t>Fatte salve le funzioni degli organi di controllo previsti a norma di legge e di statuto, le società a controllo pubblico valutano l’opportunità di integrare, in considerazione delle dimensioni e delle caratteristiche organizzative nonché dell’attività svolta, gli strumenti di governo societario con i seguenti:</w:t>
      </w:r>
    </w:p>
    <w:p w14:paraId="48456162" w14:textId="513922B9" w:rsidR="004D0CF0" w:rsidRPr="003415B0" w:rsidRDefault="00045863" w:rsidP="00492484">
      <w:pPr>
        <w:numPr>
          <w:ilvl w:val="0"/>
          <w:numId w:val="2"/>
        </w:numPr>
        <w:spacing w:after="0" w:line="240" w:lineRule="auto"/>
        <w:contextualSpacing/>
        <w:jc w:val="both"/>
        <w:rPr>
          <w:rFonts w:ascii="Garamond" w:eastAsia="MS Mincho" w:hAnsi="Garamond" w:cs="Times New Roman"/>
          <w:i/>
          <w:sz w:val="24"/>
          <w:szCs w:val="24"/>
          <w:lang w:eastAsia="it-IT"/>
        </w:rPr>
      </w:pPr>
      <w:r w:rsidRPr="003415B0">
        <w:rPr>
          <w:rFonts w:ascii="Garamond" w:eastAsia="MS Mincho" w:hAnsi="Garamond" w:cs="Times New Roman"/>
          <w:i/>
          <w:sz w:val="24"/>
          <w:szCs w:val="24"/>
          <w:lang w:eastAsia="it-IT"/>
        </w:rPr>
        <w:t>Regolamenti</w:t>
      </w:r>
      <w:r w:rsidR="004D0CF0" w:rsidRPr="003415B0">
        <w:rPr>
          <w:rFonts w:ascii="Garamond" w:eastAsia="MS Mincho" w:hAnsi="Garamond" w:cs="Times New Roman"/>
          <w:i/>
          <w:sz w:val="24"/>
          <w:szCs w:val="24"/>
          <w:lang w:eastAsia="it-IT"/>
        </w:rPr>
        <w:t xml:space="preserve"> interni volti a garantire la conformità dell’attività della società alle norme di tutela della concorrenza, comprese quelle in materia di concorrenza sleale, nonché alle norme di tutela della proprietà industriale o intellettuale;</w:t>
      </w:r>
    </w:p>
    <w:p w14:paraId="28B5BA74" w14:textId="5109A8BB" w:rsidR="004D0CF0" w:rsidRPr="003415B0" w:rsidRDefault="00045863" w:rsidP="00492484">
      <w:pPr>
        <w:numPr>
          <w:ilvl w:val="0"/>
          <w:numId w:val="2"/>
        </w:numPr>
        <w:spacing w:after="0" w:line="240" w:lineRule="auto"/>
        <w:contextualSpacing/>
        <w:jc w:val="both"/>
        <w:rPr>
          <w:rFonts w:ascii="Garamond" w:eastAsia="MS Mincho" w:hAnsi="Garamond" w:cs="Times New Roman"/>
          <w:i/>
          <w:sz w:val="24"/>
          <w:szCs w:val="24"/>
          <w:lang w:eastAsia="it-IT"/>
        </w:rPr>
      </w:pPr>
      <w:r w:rsidRPr="003415B0">
        <w:rPr>
          <w:rFonts w:ascii="Garamond" w:eastAsia="MS Mincho" w:hAnsi="Garamond" w:cs="Times New Roman"/>
          <w:i/>
          <w:sz w:val="24"/>
          <w:szCs w:val="24"/>
          <w:lang w:eastAsia="it-IT"/>
        </w:rPr>
        <w:t>Un</w:t>
      </w:r>
      <w:r w:rsidR="004D0CF0" w:rsidRPr="003415B0">
        <w:rPr>
          <w:rFonts w:ascii="Garamond" w:eastAsia="MS Mincho" w:hAnsi="Garamond" w:cs="Times New Roman"/>
          <w:i/>
          <w:sz w:val="24"/>
          <w:szCs w:val="24"/>
          <w:lang w:eastAsia="it-IT"/>
        </w:rPr>
        <w:t xml:space="preserve"> ufficio di controllo interno strutturato secondo criteri di adeguatezza rispetto alla dimensione e alla complessità dell’impresa sociale, che collabora con l’organo di controllo statutario, riscontrando tempestivamente le richieste da questo provenienti, e trasmette periodicamente all’organo di controllo statutario relazioni sulla regolarità e l’efficienza della gestione;</w:t>
      </w:r>
    </w:p>
    <w:p w14:paraId="5EBEC36A" w14:textId="25BA1195" w:rsidR="004D0CF0" w:rsidRPr="003415B0" w:rsidRDefault="00045863" w:rsidP="00492484">
      <w:pPr>
        <w:numPr>
          <w:ilvl w:val="0"/>
          <w:numId w:val="2"/>
        </w:numPr>
        <w:spacing w:after="0" w:line="240" w:lineRule="auto"/>
        <w:contextualSpacing/>
        <w:jc w:val="both"/>
        <w:rPr>
          <w:rFonts w:ascii="Garamond" w:eastAsia="MS Mincho" w:hAnsi="Garamond" w:cs="Times New Roman"/>
          <w:i/>
          <w:sz w:val="24"/>
          <w:szCs w:val="24"/>
          <w:lang w:eastAsia="it-IT"/>
        </w:rPr>
      </w:pPr>
      <w:r w:rsidRPr="003415B0">
        <w:rPr>
          <w:rFonts w:ascii="Garamond" w:eastAsia="MS Mincho" w:hAnsi="Garamond" w:cs="Times New Roman"/>
          <w:i/>
          <w:sz w:val="24"/>
          <w:szCs w:val="24"/>
          <w:lang w:eastAsia="it-IT"/>
        </w:rPr>
        <w:t>Codici</w:t>
      </w:r>
      <w:r w:rsidR="004D0CF0" w:rsidRPr="003415B0">
        <w:rPr>
          <w:rFonts w:ascii="Garamond" w:eastAsia="MS Mincho" w:hAnsi="Garamond" w:cs="Times New Roman"/>
          <w:i/>
          <w:sz w:val="24"/>
          <w:szCs w:val="24"/>
          <w:lang w:eastAsia="it-IT"/>
        </w:rPr>
        <w:t xml:space="preserve"> di condotta propri, o adesione ai codici di condotta collettivi aventi a oggetto la disciplina dei comportamenti imprenditoriali nei confronti di consumatori, utenti, dipendenti e collaboratori, nonché altri portatori di legittimi interessi coinvolti nell’attività della società;</w:t>
      </w:r>
    </w:p>
    <w:p w14:paraId="575B9A17" w14:textId="13A1F12E" w:rsidR="004D0CF0" w:rsidRPr="003415B0" w:rsidRDefault="00045863" w:rsidP="00492484">
      <w:pPr>
        <w:numPr>
          <w:ilvl w:val="0"/>
          <w:numId w:val="2"/>
        </w:numPr>
        <w:spacing w:after="0" w:line="240" w:lineRule="auto"/>
        <w:contextualSpacing/>
        <w:jc w:val="both"/>
        <w:rPr>
          <w:rFonts w:ascii="Garamond" w:eastAsia="MS Mincho" w:hAnsi="Garamond" w:cs="Times New Roman"/>
          <w:i/>
          <w:sz w:val="24"/>
          <w:szCs w:val="24"/>
          <w:lang w:eastAsia="it-IT"/>
        </w:rPr>
      </w:pPr>
      <w:r w:rsidRPr="003415B0">
        <w:rPr>
          <w:rFonts w:ascii="Garamond" w:eastAsia="MS Mincho" w:hAnsi="Garamond" w:cs="Times New Roman"/>
          <w:i/>
          <w:sz w:val="24"/>
          <w:szCs w:val="24"/>
          <w:lang w:eastAsia="it-IT"/>
        </w:rPr>
        <w:t>Programmi</w:t>
      </w:r>
      <w:r w:rsidR="004D0CF0" w:rsidRPr="003415B0">
        <w:rPr>
          <w:rFonts w:ascii="Garamond" w:eastAsia="MS Mincho" w:hAnsi="Garamond" w:cs="Times New Roman"/>
          <w:i/>
          <w:sz w:val="24"/>
          <w:szCs w:val="24"/>
          <w:lang w:eastAsia="it-IT"/>
        </w:rPr>
        <w:t xml:space="preserve"> di responsabilità sociale dell’impresa, in conformità alle raccomandazioni della Commissione dell’Unione Europea</w:t>
      </w:r>
      <w:r w:rsidR="004D0CF0" w:rsidRPr="003415B0">
        <w:rPr>
          <w:rFonts w:ascii="Garamond" w:eastAsia="MS Mincho" w:hAnsi="Garamond" w:cs="Times New Roman"/>
          <w:sz w:val="24"/>
          <w:szCs w:val="24"/>
          <w:lang w:eastAsia="it-IT"/>
        </w:rPr>
        <w:t>”.</w:t>
      </w:r>
    </w:p>
    <w:p w14:paraId="7033435D" w14:textId="77777777" w:rsidR="00C25998" w:rsidRPr="003415B0" w:rsidRDefault="00C25998" w:rsidP="004D0CF0">
      <w:pPr>
        <w:spacing w:after="0" w:line="240" w:lineRule="auto"/>
        <w:jc w:val="both"/>
        <w:rPr>
          <w:rFonts w:ascii="Garamond" w:eastAsia="MS Mincho" w:hAnsi="Garamond" w:cs="Times New Roman"/>
          <w:sz w:val="24"/>
          <w:szCs w:val="24"/>
          <w:lang w:eastAsia="it-IT"/>
        </w:rPr>
      </w:pPr>
    </w:p>
    <w:p w14:paraId="79AC2CE9" w14:textId="77777777" w:rsidR="004D0CF0" w:rsidRPr="003415B0" w:rsidRDefault="004D0CF0" w:rsidP="004D0CF0">
      <w:pPr>
        <w:spacing w:after="0" w:line="240" w:lineRule="auto"/>
        <w:jc w:val="both"/>
        <w:rPr>
          <w:rFonts w:ascii="Garamond" w:eastAsia="MS Mincho" w:hAnsi="Garamond" w:cs="Times New Roman"/>
          <w:sz w:val="24"/>
          <w:szCs w:val="24"/>
          <w:lang w:eastAsia="it-IT"/>
        </w:rPr>
      </w:pPr>
      <w:r w:rsidRPr="003415B0">
        <w:rPr>
          <w:rFonts w:ascii="Garamond" w:eastAsia="MS Mincho" w:hAnsi="Garamond" w:cs="Times New Roman"/>
          <w:sz w:val="24"/>
          <w:szCs w:val="24"/>
          <w:lang w:eastAsia="it-IT"/>
        </w:rPr>
        <w:t>In base al co. 4:</w:t>
      </w:r>
    </w:p>
    <w:p w14:paraId="5D43D6A9" w14:textId="77777777" w:rsidR="004D0CF0" w:rsidRPr="003415B0" w:rsidRDefault="004D0CF0" w:rsidP="004D0CF0">
      <w:pPr>
        <w:spacing w:after="0" w:line="240" w:lineRule="auto"/>
        <w:jc w:val="both"/>
        <w:rPr>
          <w:rFonts w:ascii="Garamond" w:eastAsia="MS Mincho" w:hAnsi="Garamond" w:cs="Times New Roman"/>
          <w:sz w:val="24"/>
          <w:szCs w:val="24"/>
          <w:lang w:eastAsia="it-IT"/>
        </w:rPr>
      </w:pPr>
      <w:r w:rsidRPr="003415B0">
        <w:rPr>
          <w:rFonts w:ascii="Garamond" w:eastAsia="MS Mincho" w:hAnsi="Garamond" w:cs="Times New Roman"/>
          <w:sz w:val="24"/>
          <w:szCs w:val="24"/>
          <w:lang w:eastAsia="it-IT"/>
        </w:rPr>
        <w:t>“</w:t>
      </w:r>
      <w:r w:rsidRPr="003415B0">
        <w:rPr>
          <w:rFonts w:ascii="Garamond" w:eastAsia="MS Mincho" w:hAnsi="Garamond" w:cs="Times New Roman"/>
          <w:i/>
          <w:sz w:val="24"/>
          <w:szCs w:val="24"/>
          <w:lang w:eastAsia="it-IT"/>
        </w:rPr>
        <w:t>Gli strumenti eventualmente adottati ai sensi del comma 3 sono indicati nella relazione sul governo societario che le società controllate predispongono annualmente, a chiusura dell’esercizio sociale e pubblicano contestualmente al bilancio di esercizio</w:t>
      </w:r>
      <w:r w:rsidRPr="003415B0">
        <w:rPr>
          <w:rFonts w:ascii="Garamond" w:eastAsia="MS Mincho" w:hAnsi="Garamond" w:cs="Times New Roman"/>
          <w:sz w:val="24"/>
          <w:szCs w:val="24"/>
          <w:lang w:eastAsia="it-IT"/>
        </w:rPr>
        <w:t>”.</w:t>
      </w:r>
    </w:p>
    <w:p w14:paraId="0E8F0084" w14:textId="77777777" w:rsidR="00C25998" w:rsidRPr="00114350" w:rsidRDefault="00C25998" w:rsidP="004D0CF0">
      <w:pPr>
        <w:spacing w:after="0" w:line="240" w:lineRule="auto"/>
        <w:jc w:val="both"/>
        <w:rPr>
          <w:rFonts w:ascii="Garamond" w:eastAsia="MS Mincho" w:hAnsi="Garamond" w:cs="Times New Roman"/>
          <w:sz w:val="24"/>
          <w:szCs w:val="24"/>
          <w:highlight w:val="yellow"/>
          <w:lang w:eastAsia="it-IT"/>
        </w:rPr>
      </w:pPr>
    </w:p>
    <w:p w14:paraId="1F1389BE" w14:textId="77777777" w:rsidR="004D0CF0" w:rsidRPr="003415B0" w:rsidRDefault="004D0CF0" w:rsidP="004D0CF0">
      <w:pPr>
        <w:spacing w:after="0" w:line="240" w:lineRule="auto"/>
        <w:jc w:val="both"/>
        <w:rPr>
          <w:rFonts w:ascii="Garamond" w:eastAsia="MS Mincho" w:hAnsi="Garamond" w:cs="Times New Roman"/>
          <w:sz w:val="24"/>
          <w:szCs w:val="24"/>
          <w:lang w:eastAsia="it-IT"/>
        </w:rPr>
      </w:pPr>
      <w:r w:rsidRPr="003415B0">
        <w:rPr>
          <w:rFonts w:ascii="Garamond" w:eastAsia="MS Mincho" w:hAnsi="Garamond" w:cs="Times New Roman"/>
          <w:sz w:val="24"/>
          <w:szCs w:val="24"/>
          <w:lang w:eastAsia="it-IT"/>
        </w:rPr>
        <w:t>In base al co. 5:</w:t>
      </w:r>
    </w:p>
    <w:p w14:paraId="4B9803EE" w14:textId="0E8FB4B2" w:rsidR="004D0CF0" w:rsidRDefault="004D0CF0" w:rsidP="004D0CF0">
      <w:pPr>
        <w:spacing w:after="0" w:line="240" w:lineRule="auto"/>
        <w:jc w:val="both"/>
        <w:rPr>
          <w:rFonts w:ascii="Garamond" w:eastAsia="MS Mincho" w:hAnsi="Garamond" w:cs="Times New Roman"/>
          <w:sz w:val="24"/>
          <w:szCs w:val="24"/>
          <w:lang w:eastAsia="it-IT"/>
        </w:rPr>
      </w:pPr>
      <w:r w:rsidRPr="003415B0">
        <w:rPr>
          <w:rFonts w:ascii="Garamond" w:eastAsia="MS Mincho" w:hAnsi="Garamond" w:cs="Times New Roman"/>
          <w:sz w:val="24"/>
          <w:szCs w:val="24"/>
          <w:lang w:eastAsia="it-IT"/>
        </w:rPr>
        <w:t>“</w:t>
      </w:r>
      <w:r w:rsidRPr="003415B0">
        <w:rPr>
          <w:rFonts w:ascii="Garamond" w:eastAsia="MS Mincho" w:hAnsi="Garamond" w:cs="Times New Roman"/>
          <w:i/>
          <w:sz w:val="24"/>
          <w:szCs w:val="24"/>
          <w:lang w:eastAsia="it-IT"/>
        </w:rPr>
        <w:t>Qualora le società a controllo pubblico non integrino gli strumenti di governo societario con quelli di cui al comma 3, danno conto delle ragioni all’interno della relazione di cui al comma 4</w:t>
      </w:r>
      <w:r w:rsidRPr="003415B0">
        <w:rPr>
          <w:rFonts w:ascii="Garamond" w:eastAsia="MS Mincho" w:hAnsi="Garamond" w:cs="Times New Roman"/>
          <w:sz w:val="24"/>
          <w:szCs w:val="24"/>
          <w:lang w:eastAsia="it-IT"/>
        </w:rPr>
        <w:t>”.</w:t>
      </w:r>
    </w:p>
    <w:p w14:paraId="3A13CD35" w14:textId="748829B6" w:rsidR="002D5714" w:rsidRDefault="002D5714" w:rsidP="004D0CF0">
      <w:pPr>
        <w:spacing w:after="0" w:line="240" w:lineRule="auto"/>
        <w:jc w:val="both"/>
        <w:rPr>
          <w:rFonts w:ascii="Garamond" w:eastAsia="MS Mincho" w:hAnsi="Garamond" w:cs="Times New Roman"/>
          <w:sz w:val="24"/>
          <w:szCs w:val="24"/>
          <w:lang w:eastAsia="it-IT"/>
        </w:rPr>
      </w:pPr>
    </w:p>
    <w:p w14:paraId="26B52F25" w14:textId="0F9AB074" w:rsidR="002D5714" w:rsidRPr="003415B0" w:rsidRDefault="002D5714" w:rsidP="00265179">
      <w:pPr>
        <w:spacing w:after="0" w:line="240" w:lineRule="auto"/>
        <w:jc w:val="both"/>
        <w:rPr>
          <w:rFonts w:ascii="Garamond" w:eastAsia="MS Mincho" w:hAnsi="Garamond" w:cs="Times New Roman"/>
          <w:sz w:val="24"/>
          <w:szCs w:val="24"/>
          <w:lang w:eastAsia="it-IT"/>
        </w:rPr>
      </w:pPr>
      <w:r>
        <w:rPr>
          <w:rFonts w:ascii="Garamond" w:eastAsia="MS Mincho" w:hAnsi="Garamond" w:cs="Times New Roman"/>
          <w:sz w:val="24"/>
          <w:szCs w:val="24"/>
          <w:lang w:eastAsia="it-IT"/>
        </w:rPr>
        <w:lastRenderedPageBreak/>
        <w:t xml:space="preserve">Va rilevato che </w:t>
      </w:r>
      <w:r w:rsidR="00265179">
        <w:rPr>
          <w:rFonts w:ascii="Garamond" w:eastAsia="MS Mincho" w:hAnsi="Garamond" w:cs="Times New Roman"/>
          <w:sz w:val="24"/>
          <w:szCs w:val="24"/>
          <w:lang w:eastAsia="it-IT"/>
        </w:rPr>
        <w:t xml:space="preserve">il Consiglio di Amministrazione, dopo il suo insediamento, </w:t>
      </w:r>
      <w:r w:rsidR="00265179" w:rsidRPr="00265179">
        <w:rPr>
          <w:rFonts w:ascii="Garamond" w:eastAsia="MS Mincho" w:hAnsi="Garamond" w:cs="Times New Roman"/>
          <w:sz w:val="24"/>
          <w:szCs w:val="24"/>
          <w:lang w:eastAsia="it-IT"/>
        </w:rPr>
        <w:t xml:space="preserve">ha avviato le attività per dare corso al riassetto organizzativo della società, partendo dalla nuova struttura delle deleghe di potere e di rappresentanza esterna che il Consiglio potrà mettere in atto anche con l’ausilio di dipendenti e collaboratori all’esterno dello stesso. Verranno individuati i MOG (modelli organizzativi gestionali) di attuazione della legge 231/2001; integrati con quanto prevede la legge 190/ 2011 (legge anticorruzione) e </w:t>
      </w:r>
      <w:r w:rsidR="00045863" w:rsidRPr="00265179">
        <w:rPr>
          <w:rFonts w:ascii="Garamond" w:eastAsia="MS Mincho" w:hAnsi="Garamond" w:cs="Times New Roman"/>
          <w:sz w:val="24"/>
          <w:szCs w:val="24"/>
          <w:lang w:eastAsia="it-IT"/>
        </w:rPr>
        <w:t>d.lgs.</w:t>
      </w:r>
      <w:r w:rsidR="00265179" w:rsidRPr="00265179">
        <w:rPr>
          <w:rFonts w:ascii="Garamond" w:eastAsia="MS Mincho" w:hAnsi="Garamond" w:cs="Times New Roman"/>
          <w:sz w:val="24"/>
          <w:szCs w:val="24"/>
          <w:lang w:eastAsia="it-IT"/>
        </w:rPr>
        <w:t xml:space="preserve"> 33/2012 (trasparenza) - nonché </w:t>
      </w:r>
      <w:r w:rsidR="00265179">
        <w:rPr>
          <w:rFonts w:ascii="Garamond" w:eastAsia="MS Mincho" w:hAnsi="Garamond" w:cs="Times New Roman"/>
          <w:sz w:val="24"/>
          <w:szCs w:val="24"/>
          <w:lang w:eastAsia="it-IT"/>
        </w:rPr>
        <w:t xml:space="preserve">la revisione dei </w:t>
      </w:r>
      <w:r w:rsidR="00265179" w:rsidRPr="00265179">
        <w:rPr>
          <w:rFonts w:ascii="Garamond" w:eastAsia="MS Mincho" w:hAnsi="Garamond" w:cs="Times New Roman"/>
          <w:sz w:val="24"/>
          <w:szCs w:val="24"/>
          <w:lang w:eastAsia="it-IT"/>
        </w:rPr>
        <w:t xml:space="preserve"> relativi regolamenti interni alcuni dei quali oltremodo risalenti e non più adeguati all’evoluzione normativa - anche per dotarsi di sistemi di vigilanza e controllo più efficaci ed efficienti, che meglio monitorino l’attività della società quale gestore di risorse pubbliche. A tal riguardo il consiglio ha deliberato di produrre al socio una specifica relazione illustrativa</w:t>
      </w:r>
      <w:r w:rsidR="00265179">
        <w:rPr>
          <w:rFonts w:ascii="Garamond" w:eastAsia="MS Mincho" w:hAnsi="Garamond" w:cs="Times New Roman"/>
          <w:sz w:val="24"/>
          <w:szCs w:val="24"/>
          <w:lang w:eastAsia="it-IT"/>
        </w:rPr>
        <w:t xml:space="preserve">, in corso di perfezionamento, dalla quale dare evidenza di </w:t>
      </w:r>
      <w:r w:rsidR="00265179" w:rsidRPr="00265179">
        <w:rPr>
          <w:rFonts w:ascii="Garamond" w:eastAsia="MS Mincho" w:hAnsi="Garamond" w:cs="Times New Roman"/>
          <w:sz w:val="24"/>
          <w:szCs w:val="24"/>
          <w:lang w:eastAsia="it-IT"/>
        </w:rPr>
        <w:t xml:space="preserve">situazioni di </w:t>
      </w:r>
      <w:r w:rsidR="00265179" w:rsidRPr="00265179">
        <w:rPr>
          <w:rFonts w:ascii="Garamond" w:eastAsia="MS Mincho" w:hAnsi="Garamond" w:cs="Times New Roman"/>
          <w:i/>
          <w:sz w:val="24"/>
          <w:szCs w:val="24"/>
          <w:lang w:eastAsia="it-IT"/>
        </w:rPr>
        <w:t>governance</w:t>
      </w:r>
      <w:r w:rsidR="00265179" w:rsidRPr="00265179">
        <w:rPr>
          <w:rFonts w:ascii="Garamond" w:eastAsia="MS Mincho" w:hAnsi="Garamond" w:cs="Times New Roman"/>
          <w:sz w:val="24"/>
          <w:szCs w:val="24"/>
          <w:lang w:eastAsia="it-IT"/>
        </w:rPr>
        <w:t xml:space="preserve"> non più adeguate a quanto previsto per le società in house da parte del nuovo testo unico in materia di società a partecipazione pubblica (</w:t>
      </w:r>
      <w:r w:rsidR="00045863" w:rsidRPr="00265179">
        <w:rPr>
          <w:rFonts w:ascii="Garamond" w:eastAsia="MS Mincho" w:hAnsi="Garamond" w:cs="Times New Roman"/>
          <w:sz w:val="24"/>
          <w:szCs w:val="24"/>
          <w:lang w:eastAsia="it-IT"/>
        </w:rPr>
        <w:t>d.lgs.</w:t>
      </w:r>
      <w:r w:rsidR="00265179" w:rsidRPr="00265179">
        <w:rPr>
          <w:rFonts w:ascii="Garamond" w:eastAsia="MS Mincho" w:hAnsi="Garamond" w:cs="Times New Roman"/>
          <w:sz w:val="24"/>
          <w:szCs w:val="24"/>
          <w:lang w:eastAsia="it-IT"/>
        </w:rPr>
        <w:t xml:space="preserve"> 175/2016). Pertanto la relazione illustrativa al socio,</w:t>
      </w:r>
      <w:r w:rsidR="00265179">
        <w:rPr>
          <w:rFonts w:ascii="Garamond" w:eastAsia="MS Mincho" w:hAnsi="Garamond" w:cs="Times New Roman"/>
          <w:sz w:val="24"/>
          <w:szCs w:val="24"/>
          <w:lang w:eastAsia="it-IT"/>
        </w:rPr>
        <w:t xml:space="preserve"> </w:t>
      </w:r>
      <w:r w:rsidR="00265179" w:rsidRPr="00265179">
        <w:rPr>
          <w:rFonts w:ascii="Garamond" w:eastAsia="MS Mincho" w:hAnsi="Garamond" w:cs="Times New Roman"/>
          <w:sz w:val="24"/>
          <w:szCs w:val="24"/>
          <w:lang w:eastAsia="it-IT"/>
        </w:rPr>
        <w:t xml:space="preserve">conterrà alcuni suggerimenti di modifica anche dello statuto, per renderlo ancor più efficiente sotto il profilo del “controllo analogo” e della gestione della “compliance” in una società a totale partecipazione pubblica. </w:t>
      </w:r>
    </w:p>
    <w:p w14:paraId="21DBAD5C" w14:textId="77777777" w:rsidR="004D0CF0" w:rsidRPr="00114350" w:rsidRDefault="004D0CF0" w:rsidP="004D0CF0">
      <w:pPr>
        <w:spacing w:after="0" w:line="240" w:lineRule="auto"/>
        <w:jc w:val="both"/>
        <w:rPr>
          <w:rFonts w:ascii="Garamond" w:eastAsia="MS Mincho" w:hAnsi="Garamond" w:cs="Times New Roman"/>
          <w:sz w:val="24"/>
          <w:szCs w:val="24"/>
          <w:highlight w:val="yellow"/>
          <w:lang w:eastAsia="it-IT"/>
        </w:rPr>
      </w:pPr>
    </w:p>
    <w:p w14:paraId="03966B7B" w14:textId="77777777" w:rsidR="00492484" w:rsidRPr="003415B0" w:rsidRDefault="004D0CF0" w:rsidP="004D0CF0">
      <w:pPr>
        <w:spacing w:after="0" w:line="240" w:lineRule="auto"/>
        <w:ind w:left="360" w:hanging="360"/>
        <w:jc w:val="both"/>
        <w:rPr>
          <w:rFonts w:ascii="Garamond" w:eastAsia="MS Mincho" w:hAnsi="Garamond" w:cs="Times New Roman"/>
          <w:sz w:val="24"/>
          <w:szCs w:val="24"/>
          <w:lang w:eastAsia="it-IT"/>
        </w:rPr>
      </w:pPr>
      <w:r w:rsidRPr="003415B0">
        <w:rPr>
          <w:rFonts w:ascii="Garamond" w:eastAsia="MS Mincho" w:hAnsi="Garamond" w:cs="Times New Roman"/>
          <w:sz w:val="24"/>
          <w:szCs w:val="24"/>
          <w:lang w:eastAsia="it-IT"/>
        </w:rPr>
        <w:t>Nella seguente tabella si indicano gli strumenti integrativi di governo societario:</w:t>
      </w:r>
    </w:p>
    <w:p w14:paraId="3CA604FB" w14:textId="77777777" w:rsidR="00492484" w:rsidRPr="00114350" w:rsidRDefault="00492484" w:rsidP="004D0CF0">
      <w:pPr>
        <w:spacing w:after="0" w:line="240" w:lineRule="auto"/>
        <w:ind w:left="360" w:hanging="360"/>
        <w:jc w:val="both"/>
        <w:rPr>
          <w:rFonts w:ascii="Garamond" w:eastAsia="MS Mincho" w:hAnsi="Garamond" w:cs="Times New Roman"/>
          <w:b/>
          <w:sz w:val="28"/>
          <w:szCs w:val="28"/>
          <w:highlight w:val="yellow"/>
          <w:lang w:eastAsia="it-IT"/>
        </w:rPr>
      </w:pPr>
    </w:p>
    <w:tbl>
      <w:tblPr>
        <w:tblStyle w:val="Grigliatabella2"/>
        <w:tblW w:w="0" w:type="auto"/>
        <w:tblLook w:val="04A0" w:firstRow="1" w:lastRow="0" w:firstColumn="1" w:lastColumn="0" w:noHBand="0" w:noVBand="1"/>
      </w:tblPr>
      <w:tblGrid>
        <w:gridCol w:w="2233"/>
        <w:gridCol w:w="2243"/>
        <w:gridCol w:w="2259"/>
        <w:gridCol w:w="2325"/>
      </w:tblGrid>
      <w:tr w:rsidR="004D0CF0" w:rsidRPr="00114350" w14:paraId="0B227832" w14:textId="77777777" w:rsidTr="002D5714">
        <w:tc>
          <w:tcPr>
            <w:tcW w:w="2443" w:type="dxa"/>
            <w:shd w:val="clear" w:color="auto" w:fill="FFFFFF" w:themeFill="background1"/>
          </w:tcPr>
          <w:p w14:paraId="4819ECF8" w14:textId="77777777" w:rsidR="004D0CF0" w:rsidRPr="002D5714" w:rsidRDefault="004D0CF0" w:rsidP="004D0CF0">
            <w:pPr>
              <w:jc w:val="center"/>
              <w:rPr>
                <w:rFonts w:ascii="Garamond" w:eastAsia="MS Mincho" w:hAnsi="Garamond" w:cs="Times New Roman"/>
                <w:b/>
                <w:spacing w:val="-16"/>
                <w:sz w:val="22"/>
                <w:szCs w:val="22"/>
              </w:rPr>
            </w:pPr>
            <w:r w:rsidRPr="002D5714">
              <w:rPr>
                <w:rFonts w:ascii="Garamond" w:eastAsia="MS Mincho" w:hAnsi="Garamond" w:cs="Times New Roman"/>
                <w:b/>
                <w:spacing w:val="-16"/>
                <w:sz w:val="22"/>
                <w:szCs w:val="22"/>
              </w:rPr>
              <w:t>Riferimenti normativi</w:t>
            </w:r>
          </w:p>
        </w:tc>
        <w:tc>
          <w:tcPr>
            <w:tcW w:w="2443" w:type="dxa"/>
            <w:shd w:val="clear" w:color="auto" w:fill="FFFFFF" w:themeFill="background1"/>
          </w:tcPr>
          <w:p w14:paraId="25A4D37E" w14:textId="77777777" w:rsidR="004D0CF0" w:rsidRPr="002D5714" w:rsidRDefault="004D0CF0" w:rsidP="004D0CF0">
            <w:pPr>
              <w:jc w:val="center"/>
              <w:rPr>
                <w:rFonts w:ascii="Garamond" w:eastAsia="MS Mincho" w:hAnsi="Garamond" w:cs="Times New Roman"/>
                <w:b/>
                <w:spacing w:val="-16"/>
                <w:sz w:val="22"/>
                <w:szCs w:val="22"/>
              </w:rPr>
            </w:pPr>
            <w:r w:rsidRPr="002D5714">
              <w:rPr>
                <w:rFonts w:ascii="Garamond" w:eastAsia="MS Mincho" w:hAnsi="Garamond" w:cs="Times New Roman"/>
                <w:b/>
                <w:spacing w:val="-16"/>
                <w:sz w:val="22"/>
                <w:szCs w:val="22"/>
              </w:rPr>
              <w:t>Oggetto</w:t>
            </w:r>
          </w:p>
        </w:tc>
        <w:tc>
          <w:tcPr>
            <w:tcW w:w="2443" w:type="dxa"/>
            <w:shd w:val="clear" w:color="auto" w:fill="FFFFFF" w:themeFill="background1"/>
          </w:tcPr>
          <w:p w14:paraId="3F5243BE" w14:textId="77777777" w:rsidR="004D0CF0" w:rsidRPr="002D5714" w:rsidRDefault="004D0CF0" w:rsidP="004D0CF0">
            <w:pPr>
              <w:jc w:val="center"/>
              <w:rPr>
                <w:rFonts w:ascii="Garamond" w:eastAsia="MS Mincho" w:hAnsi="Garamond" w:cs="Times New Roman"/>
                <w:b/>
                <w:spacing w:val="-16"/>
                <w:sz w:val="22"/>
                <w:szCs w:val="22"/>
              </w:rPr>
            </w:pPr>
            <w:r w:rsidRPr="002D5714">
              <w:rPr>
                <w:rFonts w:ascii="Garamond" w:eastAsia="MS Mincho" w:hAnsi="Garamond" w:cs="Times New Roman"/>
                <w:b/>
                <w:spacing w:val="-16"/>
                <w:sz w:val="22"/>
                <w:szCs w:val="22"/>
              </w:rPr>
              <w:t>Strumenti adottati</w:t>
            </w:r>
          </w:p>
        </w:tc>
        <w:tc>
          <w:tcPr>
            <w:tcW w:w="2443" w:type="dxa"/>
            <w:shd w:val="clear" w:color="auto" w:fill="auto"/>
          </w:tcPr>
          <w:p w14:paraId="51FDA7FD" w14:textId="77777777" w:rsidR="004D0CF0" w:rsidRPr="00114350" w:rsidRDefault="004D0CF0" w:rsidP="004D0CF0">
            <w:pPr>
              <w:jc w:val="center"/>
              <w:rPr>
                <w:rFonts w:ascii="Garamond" w:eastAsia="MS Mincho" w:hAnsi="Garamond" w:cs="Times New Roman"/>
                <w:b/>
                <w:spacing w:val="-16"/>
                <w:sz w:val="22"/>
                <w:szCs w:val="22"/>
                <w:highlight w:val="yellow"/>
              </w:rPr>
            </w:pPr>
            <w:r w:rsidRPr="002D5714">
              <w:rPr>
                <w:rFonts w:ascii="Garamond" w:eastAsia="MS Mincho" w:hAnsi="Garamond" w:cs="Times New Roman"/>
                <w:b/>
                <w:spacing w:val="-16"/>
                <w:sz w:val="22"/>
                <w:szCs w:val="22"/>
              </w:rPr>
              <w:t>Motivi della mancata integrazione</w:t>
            </w:r>
          </w:p>
        </w:tc>
      </w:tr>
      <w:tr w:rsidR="004D0CF0" w:rsidRPr="00114350" w14:paraId="6A2BA63B" w14:textId="77777777" w:rsidTr="002D5714">
        <w:tc>
          <w:tcPr>
            <w:tcW w:w="2443" w:type="dxa"/>
            <w:shd w:val="clear" w:color="auto" w:fill="FFFFFF" w:themeFill="background1"/>
          </w:tcPr>
          <w:p w14:paraId="4469BD20" w14:textId="655DEB58" w:rsidR="004D0CF0" w:rsidRPr="002D5714" w:rsidRDefault="004D0CF0" w:rsidP="004D0CF0">
            <w:pPr>
              <w:jc w:val="both"/>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Art. 6 comma 3 lett. a)</w:t>
            </w:r>
          </w:p>
        </w:tc>
        <w:tc>
          <w:tcPr>
            <w:tcW w:w="2443" w:type="dxa"/>
            <w:shd w:val="clear" w:color="auto" w:fill="FFFFFF" w:themeFill="background1"/>
          </w:tcPr>
          <w:p w14:paraId="27895FD9" w14:textId="77777777" w:rsidR="004D0CF0" w:rsidRPr="002D5714" w:rsidRDefault="004D0CF0" w:rsidP="004D0CF0">
            <w:pPr>
              <w:jc w:val="both"/>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xml:space="preserve">Regolamenti interni </w:t>
            </w:r>
          </w:p>
        </w:tc>
        <w:tc>
          <w:tcPr>
            <w:tcW w:w="2443" w:type="dxa"/>
            <w:shd w:val="clear" w:color="auto" w:fill="FFFFFF" w:themeFill="background1"/>
          </w:tcPr>
          <w:p w14:paraId="5C2EDEE6" w14:textId="77777777" w:rsidR="004D0CF0" w:rsidRPr="002D5714" w:rsidRDefault="004D0CF0" w:rsidP="00045863">
            <w:pPr>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xml:space="preserve">La Società ha adottato </w:t>
            </w:r>
          </w:p>
          <w:p w14:paraId="1E666AF8" w14:textId="45145CE7" w:rsidR="004D0CF0" w:rsidRPr="002D5714" w:rsidRDefault="004D0CF0" w:rsidP="00045863">
            <w:pPr>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xml:space="preserve">- </w:t>
            </w:r>
            <w:r w:rsidR="00F9222C">
              <w:rPr>
                <w:rFonts w:ascii="Garamond" w:eastAsia="MS Mincho" w:hAnsi="Garamond" w:cs="Times New Roman"/>
                <w:spacing w:val="-16"/>
                <w:sz w:val="22"/>
                <w:szCs w:val="22"/>
              </w:rPr>
              <w:t xml:space="preserve">   </w:t>
            </w:r>
            <w:r w:rsidRPr="002D5714">
              <w:rPr>
                <w:rFonts w:ascii="Garamond" w:eastAsia="MS Mincho" w:hAnsi="Garamond" w:cs="Times New Roman"/>
                <w:spacing w:val="-16"/>
                <w:sz w:val="22"/>
                <w:szCs w:val="22"/>
              </w:rPr>
              <w:t xml:space="preserve">regolamento per l’acquisto di beni, servizi e lavori </w:t>
            </w:r>
          </w:p>
          <w:p w14:paraId="75A79F77" w14:textId="77777777" w:rsidR="004D0CF0" w:rsidRPr="002D5714" w:rsidRDefault="004D0CF0" w:rsidP="00045863">
            <w:pPr>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regolamento per il conferimento degli incarichi di collaborazione e consulenza, il reclutamento e le progressioni del personale</w:t>
            </w:r>
          </w:p>
          <w:p w14:paraId="3A9D85B4" w14:textId="692D82AB" w:rsidR="004D0CF0" w:rsidRPr="002D5714" w:rsidRDefault="004D0CF0" w:rsidP="00045863">
            <w:pPr>
              <w:rPr>
                <w:rFonts w:ascii="Garamond" w:eastAsia="MS Mincho" w:hAnsi="Garamond" w:cs="Times New Roman"/>
                <w:spacing w:val="-16"/>
                <w:sz w:val="22"/>
                <w:szCs w:val="22"/>
              </w:rPr>
            </w:pPr>
          </w:p>
        </w:tc>
        <w:tc>
          <w:tcPr>
            <w:tcW w:w="2443" w:type="dxa"/>
            <w:shd w:val="clear" w:color="auto" w:fill="auto"/>
          </w:tcPr>
          <w:p w14:paraId="481F0C67" w14:textId="3396219F" w:rsidR="004D0CF0" w:rsidRPr="00114350" w:rsidRDefault="00F9222C" w:rsidP="00045863">
            <w:pPr>
              <w:rPr>
                <w:rFonts w:ascii="Garamond" w:eastAsia="MS Mincho" w:hAnsi="Garamond" w:cs="Times New Roman"/>
                <w:spacing w:val="-16"/>
                <w:sz w:val="22"/>
                <w:szCs w:val="22"/>
                <w:highlight w:val="yellow"/>
              </w:rPr>
            </w:pPr>
            <w:r w:rsidRPr="00F9222C">
              <w:rPr>
                <w:rFonts w:ascii="Garamond" w:eastAsia="MS Mincho" w:hAnsi="Garamond" w:cs="Times New Roman"/>
                <w:spacing w:val="-16"/>
                <w:sz w:val="22"/>
                <w:szCs w:val="22"/>
              </w:rPr>
              <w:t xml:space="preserve">In corso di aggiornamento nell’ambito della ristrutturazione </w:t>
            </w:r>
            <w:r>
              <w:rPr>
                <w:rFonts w:ascii="Garamond" w:eastAsia="MS Mincho" w:hAnsi="Garamond" w:cs="Times New Roman"/>
                <w:spacing w:val="-16"/>
                <w:sz w:val="22"/>
                <w:szCs w:val="22"/>
              </w:rPr>
              <w:t>organizzativa ove verrà implementato il modello legge 231</w:t>
            </w:r>
            <w:r w:rsidR="00BB2692">
              <w:rPr>
                <w:rFonts w:ascii="Garamond" w:eastAsia="MS Mincho" w:hAnsi="Garamond" w:cs="Times New Roman"/>
                <w:spacing w:val="-16"/>
                <w:sz w:val="22"/>
                <w:szCs w:val="22"/>
              </w:rPr>
              <w:t xml:space="preserve">/ Codici </w:t>
            </w:r>
            <w:r w:rsidR="00045863">
              <w:rPr>
                <w:rFonts w:ascii="Garamond" w:eastAsia="MS Mincho" w:hAnsi="Garamond" w:cs="Times New Roman"/>
                <w:spacing w:val="-16"/>
                <w:sz w:val="22"/>
                <w:szCs w:val="22"/>
              </w:rPr>
              <w:t>Etico</w:t>
            </w:r>
            <w:r w:rsidR="00BB2692">
              <w:rPr>
                <w:rFonts w:ascii="Garamond" w:eastAsia="MS Mincho" w:hAnsi="Garamond" w:cs="Times New Roman"/>
                <w:spacing w:val="-16"/>
                <w:sz w:val="22"/>
                <w:szCs w:val="22"/>
              </w:rPr>
              <w:t xml:space="preserve"> ecc.</w:t>
            </w:r>
            <w:r>
              <w:rPr>
                <w:rFonts w:ascii="Garamond" w:eastAsia="MS Mincho" w:hAnsi="Garamond" w:cs="Times New Roman"/>
                <w:spacing w:val="-16"/>
                <w:sz w:val="22"/>
                <w:szCs w:val="22"/>
              </w:rPr>
              <w:t xml:space="preserve"> integrat</w:t>
            </w:r>
            <w:r w:rsidR="00BB2692">
              <w:rPr>
                <w:rFonts w:ascii="Garamond" w:eastAsia="MS Mincho" w:hAnsi="Garamond" w:cs="Times New Roman"/>
                <w:spacing w:val="-16"/>
                <w:sz w:val="22"/>
                <w:szCs w:val="22"/>
              </w:rPr>
              <w:t>i</w:t>
            </w:r>
            <w:r>
              <w:rPr>
                <w:rFonts w:ascii="Garamond" w:eastAsia="MS Mincho" w:hAnsi="Garamond" w:cs="Times New Roman"/>
                <w:spacing w:val="-16"/>
                <w:sz w:val="22"/>
                <w:szCs w:val="22"/>
              </w:rPr>
              <w:t xml:space="preserve"> con i programmi per la prevenzione della corruzione e per la </w:t>
            </w:r>
            <w:r w:rsidR="00045863">
              <w:rPr>
                <w:rFonts w:ascii="Garamond" w:eastAsia="MS Mincho" w:hAnsi="Garamond" w:cs="Times New Roman"/>
                <w:spacing w:val="-16"/>
                <w:sz w:val="22"/>
                <w:szCs w:val="22"/>
              </w:rPr>
              <w:t xml:space="preserve">trasparenza. </w:t>
            </w:r>
          </w:p>
        </w:tc>
      </w:tr>
      <w:tr w:rsidR="004D0CF0" w:rsidRPr="00114350" w14:paraId="33B38DB3" w14:textId="77777777" w:rsidTr="004D0CF0">
        <w:tc>
          <w:tcPr>
            <w:tcW w:w="2443" w:type="dxa"/>
          </w:tcPr>
          <w:p w14:paraId="279504F8" w14:textId="5BDC7E99" w:rsidR="004D0CF0" w:rsidRPr="002D5714" w:rsidRDefault="004D0CF0" w:rsidP="004D0CF0">
            <w:pPr>
              <w:jc w:val="both"/>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xml:space="preserve">Art. 6 comma </w:t>
            </w:r>
            <w:r w:rsidR="00045863" w:rsidRPr="002D5714">
              <w:rPr>
                <w:rFonts w:ascii="Garamond" w:eastAsia="MS Mincho" w:hAnsi="Garamond" w:cs="Times New Roman"/>
                <w:spacing w:val="-16"/>
                <w:sz w:val="22"/>
                <w:szCs w:val="22"/>
              </w:rPr>
              <w:t xml:space="preserve">3 </w:t>
            </w:r>
            <w:r w:rsidR="00045863">
              <w:rPr>
                <w:rFonts w:ascii="Garamond" w:eastAsia="MS Mincho" w:hAnsi="Garamond" w:cs="Times New Roman"/>
                <w:spacing w:val="-16"/>
                <w:sz w:val="22"/>
                <w:szCs w:val="22"/>
              </w:rPr>
              <w:t>lett.</w:t>
            </w:r>
            <w:r w:rsidRPr="002D5714">
              <w:rPr>
                <w:rFonts w:ascii="Garamond" w:eastAsia="MS Mincho" w:hAnsi="Garamond" w:cs="Times New Roman"/>
                <w:spacing w:val="-16"/>
                <w:sz w:val="22"/>
                <w:szCs w:val="22"/>
              </w:rPr>
              <w:t xml:space="preserve"> </w:t>
            </w:r>
            <w:r w:rsidR="00BB2692">
              <w:rPr>
                <w:rFonts w:ascii="Garamond" w:eastAsia="MS Mincho" w:hAnsi="Garamond" w:cs="Times New Roman"/>
                <w:spacing w:val="-16"/>
                <w:sz w:val="22"/>
                <w:szCs w:val="22"/>
              </w:rPr>
              <w:t xml:space="preserve"> </w:t>
            </w:r>
            <w:r w:rsidRPr="002D5714">
              <w:rPr>
                <w:rFonts w:ascii="Garamond" w:eastAsia="MS Mincho" w:hAnsi="Garamond" w:cs="Times New Roman"/>
                <w:spacing w:val="-16"/>
                <w:sz w:val="22"/>
                <w:szCs w:val="22"/>
              </w:rPr>
              <w:t>b)</w:t>
            </w:r>
          </w:p>
        </w:tc>
        <w:tc>
          <w:tcPr>
            <w:tcW w:w="2443" w:type="dxa"/>
          </w:tcPr>
          <w:p w14:paraId="1AEC6846" w14:textId="77777777" w:rsidR="004D0CF0" w:rsidRPr="002D5714" w:rsidRDefault="004D0CF0" w:rsidP="004D0CF0">
            <w:pPr>
              <w:jc w:val="both"/>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xml:space="preserve">Ufficio di controllo </w:t>
            </w:r>
          </w:p>
        </w:tc>
        <w:tc>
          <w:tcPr>
            <w:tcW w:w="2443" w:type="dxa"/>
          </w:tcPr>
          <w:p w14:paraId="2607E998" w14:textId="6FB61236" w:rsidR="00BF5BFC" w:rsidRDefault="00BF5BFC" w:rsidP="00045863">
            <w:pPr>
              <w:rPr>
                <w:rFonts w:ascii="Garamond" w:eastAsia="MS Mincho" w:hAnsi="Garamond" w:cs="Times New Roman"/>
                <w:spacing w:val="-16"/>
                <w:sz w:val="22"/>
                <w:szCs w:val="22"/>
              </w:rPr>
            </w:pPr>
            <w:r>
              <w:rPr>
                <w:rFonts w:ascii="Garamond" w:eastAsia="MS Mincho" w:hAnsi="Garamond" w:cs="Times New Roman"/>
                <w:spacing w:val="-16"/>
                <w:sz w:val="22"/>
                <w:szCs w:val="22"/>
              </w:rPr>
              <w:t xml:space="preserve">La società, essendo a controllo pubblico ed in house providing è sottoposta al rispetto degli indirizzi e perseguimento degli obiettivi impartiti dall’unico socio affidante in </w:t>
            </w:r>
            <w:r w:rsidR="00045863">
              <w:rPr>
                <w:rFonts w:ascii="Garamond" w:eastAsia="MS Mincho" w:hAnsi="Garamond" w:cs="Times New Roman"/>
                <w:spacing w:val="-16"/>
                <w:sz w:val="22"/>
                <w:szCs w:val="22"/>
              </w:rPr>
              <w:t>house, così</w:t>
            </w:r>
            <w:r>
              <w:rPr>
                <w:rFonts w:ascii="Garamond" w:eastAsia="MS Mincho" w:hAnsi="Garamond" w:cs="Times New Roman"/>
                <w:spacing w:val="-16"/>
                <w:sz w:val="22"/>
                <w:szCs w:val="22"/>
              </w:rPr>
              <w:t xml:space="preserve"> come prevede l’art. 147 quater del </w:t>
            </w:r>
            <w:r w:rsidR="00045863">
              <w:rPr>
                <w:rFonts w:ascii="Garamond" w:eastAsia="MS Mincho" w:hAnsi="Garamond" w:cs="Times New Roman"/>
                <w:spacing w:val="-16"/>
                <w:sz w:val="22"/>
                <w:szCs w:val="22"/>
              </w:rPr>
              <w:t>d.lgs.</w:t>
            </w:r>
            <w:r>
              <w:rPr>
                <w:rFonts w:ascii="Garamond" w:eastAsia="MS Mincho" w:hAnsi="Garamond" w:cs="Times New Roman"/>
                <w:spacing w:val="-16"/>
                <w:sz w:val="22"/>
                <w:szCs w:val="22"/>
              </w:rPr>
              <w:t xml:space="preserve"> 267/2000 e l’art. 19 comma 5 del TUSPP</w:t>
            </w:r>
            <w:r w:rsidR="00EE76A2">
              <w:rPr>
                <w:rFonts w:ascii="Garamond" w:eastAsia="MS Mincho" w:hAnsi="Garamond" w:cs="Times New Roman"/>
                <w:spacing w:val="-16"/>
                <w:sz w:val="22"/>
                <w:szCs w:val="22"/>
              </w:rPr>
              <w:t>.</w:t>
            </w:r>
          </w:p>
          <w:p w14:paraId="2CDEB761" w14:textId="5D5CA7C1" w:rsidR="004D0CF0" w:rsidRPr="002D5714" w:rsidRDefault="00BF5BFC" w:rsidP="00045863">
            <w:pPr>
              <w:rPr>
                <w:rFonts w:ascii="Garamond" w:eastAsia="MS Mincho" w:hAnsi="Garamond" w:cs="Times New Roman"/>
                <w:spacing w:val="-16"/>
                <w:sz w:val="22"/>
                <w:szCs w:val="22"/>
              </w:rPr>
            </w:pPr>
            <w:r>
              <w:rPr>
                <w:rFonts w:ascii="Garamond" w:eastAsia="MS Mincho" w:hAnsi="Garamond" w:cs="Times New Roman"/>
                <w:spacing w:val="-16"/>
                <w:sz w:val="22"/>
                <w:szCs w:val="22"/>
              </w:rPr>
              <w:t xml:space="preserve"> </w:t>
            </w:r>
          </w:p>
        </w:tc>
        <w:tc>
          <w:tcPr>
            <w:tcW w:w="2443" w:type="dxa"/>
          </w:tcPr>
          <w:p w14:paraId="4495A8A2" w14:textId="147F9BEA" w:rsidR="004D0CF0" w:rsidRDefault="004D0CF0" w:rsidP="00045863">
            <w:pPr>
              <w:rPr>
                <w:rFonts w:ascii="Garamond" w:eastAsia="MS Mincho" w:hAnsi="Garamond" w:cs="Times New Roman"/>
                <w:spacing w:val="-16"/>
                <w:sz w:val="22"/>
                <w:szCs w:val="22"/>
              </w:rPr>
            </w:pPr>
            <w:r w:rsidRPr="002D5714">
              <w:rPr>
                <w:rFonts w:ascii="Garamond" w:eastAsia="MS Mincho" w:hAnsi="Garamond" w:cs="Times New Roman"/>
                <w:spacing w:val="-16"/>
                <w:sz w:val="22"/>
                <w:szCs w:val="22"/>
              </w:rPr>
              <w:t xml:space="preserve"> La Società in considerazione delle dimensioni della struttura organizzativa e dell’attività svolta, non si è dotata di</w:t>
            </w:r>
            <w:r w:rsidR="00F9222C">
              <w:rPr>
                <w:rFonts w:ascii="Garamond" w:eastAsia="MS Mincho" w:hAnsi="Garamond" w:cs="Times New Roman"/>
                <w:spacing w:val="-16"/>
                <w:sz w:val="22"/>
                <w:szCs w:val="22"/>
              </w:rPr>
              <w:t xml:space="preserve"> un autonomo e specifico ufficio interno per il controllo (</w:t>
            </w:r>
            <w:r w:rsidR="00F9222C" w:rsidRPr="00F9222C">
              <w:rPr>
                <w:rFonts w:ascii="Garamond" w:eastAsia="MS Mincho" w:hAnsi="Garamond" w:cs="Times New Roman"/>
                <w:i/>
                <w:iCs/>
                <w:spacing w:val="-16"/>
                <w:sz w:val="22"/>
                <w:szCs w:val="22"/>
              </w:rPr>
              <w:t>internal audit</w:t>
            </w:r>
            <w:r w:rsidR="00F9222C">
              <w:rPr>
                <w:rFonts w:ascii="Garamond" w:eastAsia="MS Mincho" w:hAnsi="Garamond" w:cs="Times New Roman"/>
                <w:spacing w:val="-16"/>
                <w:sz w:val="22"/>
                <w:szCs w:val="22"/>
              </w:rPr>
              <w:t>), ma tale funzione sarà attribuita all’area dell’amministrazione</w:t>
            </w:r>
            <w:r w:rsidR="00BB2692">
              <w:rPr>
                <w:rFonts w:ascii="Garamond" w:eastAsia="MS Mincho" w:hAnsi="Garamond" w:cs="Times New Roman"/>
                <w:spacing w:val="-16"/>
                <w:sz w:val="22"/>
                <w:szCs w:val="22"/>
              </w:rPr>
              <w:t xml:space="preserve">. </w:t>
            </w:r>
            <w:r w:rsidR="00F9222C">
              <w:rPr>
                <w:rFonts w:ascii="Garamond" w:eastAsia="MS Mincho" w:hAnsi="Garamond" w:cs="Times New Roman"/>
                <w:spacing w:val="-16"/>
                <w:sz w:val="22"/>
                <w:szCs w:val="22"/>
              </w:rPr>
              <w:t xml:space="preserve"> In ogni caso la società ha nominato un organo di controllo monocratico che svolge sia la funzione di collegio sindacale che quella di revisore legale dei conti, assicurando un controllo altamente professionale. </w:t>
            </w:r>
          </w:p>
          <w:p w14:paraId="772DD0E3" w14:textId="3D962852" w:rsidR="00F9222C" w:rsidRPr="002D5714" w:rsidRDefault="00F9222C" w:rsidP="00045863">
            <w:pPr>
              <w:rPr>
                <w:rFonts w:ascii="Garamond" w:eastAsia="MS Mincho" w:hAnsi="Garamond" w:cs="Times New Roman"/>
                <w:spacing w:val="-16"/>
                <w:sz w:val="22"/>
                <w:szCs w:val="22"/>
              </w:rPr>
            </w:pPr>
          </w:p>
        </w:tc>
      </w:tr>
      <w:tr w:rsidR="004D0CF0" w:rsidRPr="00114350" w14:paraId="183E6AB1" w14:textId="77777777" w:rsidTr="004D0CF0">
        <w:tc>
          <w:tcPr>
            <w:tcW w:w="2443" w:type="dxa"/>
          </w:tcPr>
          <w:p w14:paraId="0A4FE1F9" w14:textId="77777777" w:rsidR="004D0CF0" w:rsidRPr="00F9222C" w:rsidRDefault="004D0CF0" w:rsidP="004D0CF0">
            <w:pPr>
              <w:jc w:val="both"/>
              <w:rPr>
                <w:rFonts w:ascii="Garamond" w:eastAsia="MS Mincho" w:hAnsi="Garamond" w:cs="Times New Roman"/>
                <w:spacing w:val="-16"/>
                <w:sz w:val="22"/>
                <w:szCs w:val="22"/>
              </w:rPr>
            </w:pPr>
            <w:r w:rsidRPr="00F9222C">
              <w:rPr>
                <w:rFonts w:ascii="Garamond" w:eastAsia="MS Mincho" w:hAnsi="Garamond" w:cs="Times New Roman"/>
                <w:spacing w:val="-16"/>
                <w:sz w:val="22"/>
                <w:szCs w:val="22"/>
              </w:rPr>
              <w:t>Art. 6 comma 3 lett. c)</w:t>
            </w:r>
          </w:p>
        </w:tc>
        <w:tc>
          <w:tcPr>
            <w:tcW w:w="2443" w:type="dxa"/>
          </w:tcPr>
          <w:p w14:paraId="359CCE0C" w14:textId="77777777" w:rsidR="004D0CF0" w:rsidRPr="00F9222C" w:rsidRDefault="004D0CF0" w:rsidP="004D0CF0">
            <w:pPr>
              <w:jc w:val="both"/>
              <w:rPr>
                <w:rFonts w:ascii="Garamond" w:eastAsia="MS Mincho" w:hAnsi="Garamond" w:cs="Times New Roman"/>
                <w:spacing w:val="-16"/>
                <w:sz w:val="22"/>
                <w:szCs w:val="22"/>
              </w:rPr>
            </w:pPr>
            <w:r w:rsidRPr="00F9222C">
              <w:rPr>
                <w:rFonts w:ascii="Garamond" w:eastAsia="MS Mincho" w:hAnsi="Garamond" w:cs="Times New Roman"/>
                <w:spacing w:val="-16"/>
                <w:sz w:val="22"/>
                <w:szCs w:val="22"/>
              </w:rPr>
              <w:t>Codice di condotta</w:t>
            </w:r>
          </w:p>
        </w:tc>
        <w:tc>
          <w:tcPr>
            <w:tcW w:w="2443" w:type="dxa"/>
          </w:tcPr>
          <w:p w14:paraId="6B3AB507" w14:textId="77777777" w:rsidR="00F9222C" w:rsidRDefault="004D0CF0" w:rsidP="00045863">
            <w:pPr>
              <w:rPr>
                <w:rFonts w:ascii="Garamond" w:eastAsia="MS Mincho" w:hAnsi="Garamond" w:cs="Times New Roman"/>
                <w:spacing w:val="-16"/>
                <w:sz w:val="22"/>
                <w:szCs w:val="22"/>
              </w:rPr>
            </w:pPr>
            <w:r w:rsidRPr="00F9222C">
              <w:rPr>
                <w:rFonts w:ascii="Garamond" w:eastAsia="MS Mincho" w:hAnsi="Garamond" w:cs="Times New Roman"/>
                <w:spacing w:val="-16"/>
                <w:sz w:val="22"/>
                <w:szCs w:val="22"/>
              </w:rPr>
              <w:t xml:space="preserve">La Società ha adottato </w:t>
            </w:r>
          </w:p>
          <w:p w14:paraId="7C413464" w14:textId="5B73240C" w:rsidR="004D0CF0" w:rsidRPr="00F9222C" w:rsidRDefault="004D0CF0" w:rsidP="00045863">
            <w:pPr>
              <w:rPr>
                <w:rFonts w:ascii="Garamond" w:eastAsia="MS Mincho" w:hAnsi="Garamond" w:cs="Times New Roman"/>
                <w:spacing w:val="-16"/>
                <w:sz w:val="22"/>
                <w:szCs w:val="22"/>
              </w:rPr>
            </w:pPr>
            <w:r w:rsidRPr="00F9222C">
              <w:rPr>
                <w:rFonts w:ascii="Garamond" w:eastAsia="MS Mincho" w:hAnsi="Garamond" w:cs="Times New Roman"/>
                <w:spacing w:val="-16"/>
                <w:sz w:val="22"/>
                <w:szCs w:val="22"/>
              </w:rPr>
              <w:t>- Piano di prevenzione della corruzione e della trasparenza ex L. 190/2012;</w:t>
            </w:r>
          </w:p>
        </w:tc>
        <w:tc>
          <w:tcPr>
            <w:tcW w:w="2443" w:type="dxa"/>
          </w:tcPr>
          <w:p w14:paraId="6C83D2E4" w14:textId="560932FC" w:rsidR="004D0CF0" w:rsidRPr="00114350" w:rsidRDefault="00045863" w:rsidP="00045863">
            <w:pPr>
              <w:rPr>
                <w:rFonts w:ascii="Garamond" w:eastAsia="MS Mincho" w:hAnsi="Garamond" w:cs="Times New Roman"/>
                <w:spacing w:val="-16"/>
                <w:sz w:val="22"/>
                <w:szCs w:val="22"/>
                <w:highlight w:val="yellow"/>
              </w:rPr>
            </w:pPr>
            <w:r w:rsidRPr="00BB2692">
              <w:rPr>
                <w:rFonts w:ascii="Garamond" w:eastAsia="MS Mincho" w:hAnsi="Garamond" w:cs="Times New Roman"/>
                <w:spacing w:val="-16"/>
                <w:sz w:val="22"/>
                <w:szCs w:val="22"/>
              </w:rPr>
              <w:t>In</w:t>
            </w:r>
            <w:r w:rsidR="00F9222C" w:rsidRPr="00BB2692">
              <w:rPr>
                <w:rFonts w:ascii="Garamond" w:eastAsia="MS Mincho" w:hAnsi="Garamond" w:cs="Times New Roman"/>
                <w:spacing w:val="-16"/>
                <w:sz w:val="22"/>
                <w:szCs w:val="22"/>
              </w:rPr>
              <w:t xml:space="preserve"> corso di </w:t>
            </w:r>
            <w:r w:rsidR="00BB2692" w:rsidRPr="00BB2692">
              <w:rPr>
                <w:rFonts w:ascii="Garamond" w:eastAsia="MS Mincho" w:hAnsi="Garamond" w:cs="Times New Roman"/>
                <w:spacing w:val="-16"/>
                <w:sz w:val="22"/>
                <w:szCs w:val="22"/>
              </w:rPr>
              <w:t>aggiornamento con</w:t>
            </w:r>
            <w:r w:rsidR="00F9222C" w:rsidRPr="00BB2692">
              <w:rPr>
                <w:rFonts w:ascii="Garamond" w:eastAsia="MS Mincho" w:hAnsi="Garamond" w:cs="Times New Roman"/>
                <w:spacing w:val="-16"/>
                <w:sz w:val="22"/>
                <w:szCs w:val="22"/>
              </w:rPr>
              <w:t xml:space="preserve"> i</w:t>
            </w:r>
            <w:r w:rsidR="00BB2692" w:rsidRPr="00BB2692">
              <w:rPr>
                <w:rFonts w:ascii="Garamond" w:eastAsia="MS Mincho" w:hAnsi="Garamond" w:cs="Times New Roman"/>
                <w:spacing w:val="-16"/>
                <w:sz w:val="22"/>
                <w:szCs w:val="22"/>
              </w:rPr>
              <w:t xml:space="preserve"> MOG</w:t>
            </w:r>
            <w:r w:rsidR="00BB2692">
              <w:rPr>
                <w:rFonts w:ascii="Garamond" w:eastAsia="MS Mincho" w:hAnsi="Garamond" w:cs="Times New Roman"/>
                <w:spacing w:val="-16"/>
                <w:sz w:val="22"/>
                <w:szCs w:val="22"/>
              </w:rPr>
              <w:t xml:space="preserve">/L. 231 e codice etico integrati integrato con i programmi per la </w:t>
            </w:r>
            <w:r w:rsidR="00BB2692">
              <w:rPr>
                <w:rFonts w:ascii="Garamond" w:eastAsia="MS Mincho" w:hAnsi="Garamond" w:cs="Times New Roman"/>
                <w:spacing w:val="-16"/>
                <w:sz w:val="22"/>
                <w:szCs w:val="22"/>
              </w:rPr>
              <w:lastRenderedPageBreak/>
              <w:t xml:space="preserve">prevenzione della corruzione e per la </w:t>
            </w:r>
            <w:r>
              <w:rPr>
                <w:rFonts w:ascii="Garamond" w:eastAsia="MS Mincho" w:hAnsi="Garamond" w:cs="Times New Roman"/>
                <w:spacing w:val="-16"/>
                <w:sz w:val="22"/>
                <w:szCs w:val="22"/>
              </w:rPr>
              <w:t xml:space="preserve">trasparenza. </w:t>
            </w:r>
          </w:p>
        </w:tc>
      </w:tr>
      <w:tr w:rsidR="004D0CF0" w:rsidRPr="00C25998" w14:paraId="68D41BEA" w14:textId="77777777" w:rsidTr="004D0CF0">
        <w:tc>
          <w:tcPr>
            <w:tcW w:w="2443" w:type="dxa"/>
          </w:tcPr>
          <w:p w14:paraId="2D8FD780" w14:textId="77777777" w:rsidR="004D0CF0" w:rsidRPr="00BB2692" w:rsidRDefault="004D0CF0" w:rsidP="004D0CF0">
            <w:pPr>
              <w:jc w:val="both"/>
              <w:rPr>
                <w:rFonts w:ascii="Garamond" w:eastAsia="MS Mincho" w:hAnsi="Garamond" w:cs="Times New Roman"/>
                <w:spacing w:val="-16"/>
                <w:sz w:val="22"/>
                <w:szCs w:val="22"/>
              </w:rPr>
            </w:pPr>
            <w:r w:rsidRPr="00BB2692">
              <w:rPr>
                <w:rFonts w:ascii="Garamond" w:eastAsia="MS Mincho" w:hAnsi="Garamond" w:cs="Times New Roman"/>
                <w:spacing w:val="-16"/>
                <w:sz w:val="22"/>
                <w:szCs w:val="22"/>
              </w:rPr>
              <w:lastRenderedPageBreak/>
              <w:t>Art. 6 comma 3 lett. d)</w:t>
            </w:r>
          </w:p>
        </w:tc>
        <w:tc>
          <w:tcPr>
            <w:tcW w:w="2443" w:type="dxa"/>
          </w:tcPr>
          <w:p w14:paraId="024B231E" w14:textId="77777777" w:rsidR="004D0CF0" w:rsidRPr="00BB2692" w:rsidRDefault="004D0CF0" w:rsidP="004D0CF0">
            <w:pPr>
              <w:jc w:val="both"/>
              <w:rPr>
                <w:rFonts w:ascii="Garamond" w:eastAsia="MS Mincho" w:hAnsi="Garamond" w:cs="Times New Roman"/>
                <w:spacing w:val="-16"/>
                <w:sz w:val="22"/>
                <w:szCs w:val="22"/>
              </w:rPr>
            </w:pPr>
            <w:r w:rsidRPr="00BB2692">
              <w:rPr>
                <w:rFonts w:ascii="Garamond" w:eastAsia="MS Mincho" w:hAnsi="Garamond" w:cs="Times New Roman"/>
                <w:spacing w:val="-16"/>
                <w:sz w:val="22"/>
                <w:szCs w:val="22"/>
              </w:rPr>
              <w:t>Programmi di responsabilità sociale</w:t>
            </w:r>
          </w:p>
        </w:tc>
        <w:tc>
          <w:tcPr>
            <w:tcW w:w="2443" w:type="dxa"/>
          </w:tcPr>
          <w:p w14:paraId="178EF2AB" w14:textId="2DFF645D" w:rsidR="004D0CF0" w:rsidRPr="00BB2692" w:rsidRDefault="004D0CF0" w:rsidP="00045863">
            <w:pPr>
              <w:rPr>
                <w:rFonts w:ascii="Garamond" w:eastAsia="MS Mincho" w:hAnsi="Garamond" w:cs="Times New Roman"/>
                <w:spacing w:val="-16"/>
                <w:sz w:val="22"/>
                <w:szCs w:val="22"/>
              </w:rPr>
            </w:pPr>
          </w:p>
          <w:p w14:paraId="62004983" w14:textId="77777777" w:rsidR="004D0CF0" w:rsidRPr="00BB2692" w:rsidRDefault="004D0CF0" w:rsidP="00045863">
            <w:pPr>
              <w:rPr>
                <w:rFonts w:ascii="Garamond" w:eastAsia="MS Mincho" w:hAnsi="Garamond" w:cs="Times New Roman"/>
                <w:spacing w:val="-16"/>
                <w:sz w:val="22"/>
                <w:szCs w:val="22"/>
              </w:rPr>
            </w:pPr>
          </w:p>
        </w:tc>
        <w:tc>
          <w:tcPr>
            <w:tcW w:w="2443" w:type="dxa"/>
          </w:tcPr>
          <w:p w14:paraId="40110AB2" w14:textId="4FB34648" w:rsidR="004D0CF0" w:rsidRPr="00BB2692" w:rsidRDefault="004D0CF0" w:rsidP="00045863">
            <w:pPr>
              <w:rPr>
                <w:rFonts w:ascii="Garamond" w:eastAsia="MS Mincho" w:hAnsi="Garamond" w:cs="Times New Roman"/>
                <w:spacing w:val="-16"/>
                <w:sz w:val="22"/>
                <w:szCs w:val="22"/>
              </w:rPr>
            </w:pPr>
            <w:r w:rsidRPr="00BB2692">
              <w:rPr>
                <w:rFonts w:ascii="Garamond" w:eastAsia="MS Mincho" w:hAnsi="Garamond" w:cs="Times New Roman"/>
                <w:spacing w:val="-16"/>
                <w:sz w:val="22"/>
                <w:szCs w:val="22"/>
              </w:rPr>
              <w:t>Non si ritiene necessario adottare ulteriori strumenti integrativi</w:t>
            </w:r>
          </w:p>
        </w:tc>
      </w:tr>
    </w:tbl>
    <w:p w14:paraId="2C3FC443" w14:textId="77777777" w:rsidR="004D0CF0" w:rsidRPr="004D0CF0" w:rsidRDefault="004D0CF0" w:rsidP="004D0CF0">
      <w:pPr>
        <w:spacing w:after="0" w:line="240" w:lineRule="auto"/>
        <w:jc w:val="both"/>
        <w:rPr>
          <w:rFonts w:ascii="Cambria" w:eastAsia="MS Mincho" w:hAnsi="Cambria" w:cs="Times New Roman"/>
          <w:sz w:val="24"/>
          <w:szCs w:val="24"/>
          <w:lang w:eastAsia="it-IT"/>
        </w:rPr>
      </w:pPr>
    </w:p>
    <w:p w14:paraId="25591988" w14:textId="77777777" w:rsidR="004D0CF0" w:rsidRPr="004D0CF0" w:rsidRDefault="004D0CF0" w:rsidP="004D0CF0">
      <w:pPr>
        <w:spacing w:after="0" w:line="240" w:lineRule="auto"/>
        <w:jc w:val="both"/>
        <w:rPr>
          <w:rFonts w:ascii="Cambria" w:eastAsia="MS Mincho" w:hAnsi="Cambria" w:cs="Times New Roman"/>
          <w:sz w:val="24"/>
          <w:szCs w:val="24"/>
          <w:lang w:eastAsia="it-IT"/>
        </w:rPr>
      </w:pPr>
    </w:p>
    <w:sectPr w:rsidR="004D0CF0" w:rsidRPr="004D0CF0" w:rsidSect="00252AD8">
      <w:footerReference w:type="default" r:id="rId11"/>
      <w:pgSz w:w="11906" w:h="16838" w:code="9"/>
      <w:pgMar w:top="1985"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781EA" w14:textId="77777777" w:rsidR="00AC4165" w:rsidRDefault="00AC4165" w:rsidP="001934A0">
      <w:pPr>
        <w:spacing w:after="0" w:line="240" w:lineRule="auto"/>
      </w:pPr>
      <w:r>
        <w:separator/>
      </w:r>
    </w:p>
  </w:endnote>
  <w:endnote w:type="continuationSeparator" w:id="0">
    <w:p w14:paraId="18741264" w14:textId="77777777" w:rsidR="00AC4165" w:rsidRDefault="00AC4165" w:rsidP="0019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ItcCenturyLight">
    <w:altName w:val="Calibri"/>
    <w:panose1 w:val="00000000000000000000"/>
    <w:charset w:val="00"/>
    <w:family w:val="auto"/>
    <w:notTrueType/>
    <w:pitch w:val="default"/>
    <w:sig w:usb0="00000003" w:usb1="00000000" w:usb2="00000000" w:usb3="00000000" w:csb0="00000001" w:csb1="00000000"/>
  </w:font>
  <w:font w:name="Times New Roman (Corpo 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D3DE" w14:textId="77777777" w:rsidR="0080386C" w:rsidRPr="00F52F8E" w:rsidRDefault="0080386C">
    <w:pPr>
      <w:pStyle w:val="Pidipagina"/>
      <w:jc w:val="right"/>
      <w:rPr>
        <w:szCs w:val="20"/>
      </w:rPr>
    </w:pPr>
    <w:r>
      <w:rPr>
        <w:noProof/>
        <w:lang w:eastAsia="it-IT"/>
      </w:rPr>
      <w:drawing>
        <wp:anchor distT="0" distB="0" distL="114300" distR="114300" simplePos="0" relativeHeight="251687936" behindDoc="0" locked="0" layoutInCell="1" allowOverlap="1" wp14:anchorId="162B6CD3" wp14:editId="1AFA93D3">
          <wp:simplePos x="0" y="0"/>
          <wp:positionH relativeFrom="column">
            <wp:posOffset>116958</wp:posOffset>
          </wp:positionH>
          <wp:positionV relativeFrom="paragraph">
            <wp:posOffset>-1166495</wp:posOffset>
          </wp:positionV>
          <wp:extent cx="5979600" cy="11664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600" cy="1166400"/>
                  </a:xfrm>
                  <a:prstGeom prst="rect">
                    <a:avLst/>
                  </a:prstGeom>
                  <a:noFill/>
                </pic:spPr>
              </pic:pic>
            </a:graphicData>
          </a:graphic>
          <wp14:sizeRelH relativeFrom="margin">
            <wp14:pctWidth>0</wp14:pctWidth>
          </wp14:sizeRelH>
          <wp14:sizeRelV relativeFrom="margin">
            <wp14:pctHeight>0</wp14:pctHeight>
          </wp14:sizeRelV>
        </wp:anchor>
      </w:drawing>
    </w:r>
  </w:p>
  <w:p w14:paraId="5FF4AA23" w14:textId="77777777" w:rsidR="0080386C" w:rsidRDefault="0080386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4CB05" w14:textId="038AC096" w:rsidR="0080386C" w:rsidRPr="00F52F8E" w:rsidRDefault="0080386C">
    <w:pPr>
      <w:pStyle w:val="Pidipagina"/>
      <w:jc w:val="right"/>
      <w:rPr>
        <w:szCs w:val="20"/>
      </w:rPr>
    </w:pPr>
  </w:p>
  <w:p w14:paraId="3E3D519D" w14:textId="7D0ADE3B" w:rsidR="0080386C" w:rsidRDefault="0080386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A01D3" w14:textId="77777777" w:rsidR="00AC4165" w:rsidRDefault="00AC4165" w:rsidP="001934A0">
      <w:pPr>
        <w:spacing w:after="0" w:line="240" w:lineRule="auto"/>
      </w:pPr>
      <w:r>
        <w:separator/>
      </w:r>
    </w:p>
  </w:footnote>
  <w:footnote w:type="continuationSeparator" w:id="0">
    <w:p w14:paraId="2F234245" w14:textId="77777777" w:rsidR="00AC4165" w:rsidRDefault="00AC4165" w:rsidP="001934A0">
      <w:pPr>
        <w:spacing w:after="0" w:line="240" w:lineRule="auto"/>
      </w:pPr>
      <w:r>
        <w:continuationSeparator/>
      </w:r>
    </w:p>
  </w:footnote>
  <w:footnote w:id="1">
    <w:p w14:paraId="7C94B22E" w14:textId="6CB5CD3F" w:rsidR="0080386C" w:rsidRPr="00095CB8" w:rsidRDefault="0080386C" w:rsidP="00992CD9">
      <w:pPr>
        <w:pStyle w:val="Testonotaapidipagina"/>
        <w:rPr>
          <w:rFonts w:ascii="Times New Roman" w:hAnsi="Times New Roman" w:cs="Times New Roman"/>
          <w:sz w:val="14"/>
          <w:szCs w:val="14"/>
        </w:rPr>
      </w:pPr>
      <w:r w:rsidRPr="00095CB8">
        <w:rPr>
          <w:rStyle w:val="Rimandonotaapidipagina"/>
          <w:rFonts w:ascii="Times New Roman" w:hAnsi="Times New Roman" w:cs="Times New Roman"/>
          <w:sz w:val="14"/>
          <w:szCs w:val="14"/>
        </w:rPr>
        <w:footnoteRef/>
      </w:r>
      <w:r w:rsidRPr="00095CB8">
        <w:rPr>
          <w:rFonts w:ascii="Times New Roman" w:hAnsi="Times New Roman" w:cs="Times New Roman"/>
          <w:sz w:val="14"/>
          <w:szCs w:val="14"/>
        </w:rPr>
        <w:t xml:space="preserve"> Nell’analisi restituiscono valori coincidenti in quanto non sono presenti rimanenze nell’attivo della società. </w:t>
      </w:r>
    </w:p>
  </w:footnote>
  <w:footnote w:id="2">
    <w:p w14:paraId="71A13CA4" w14:textId="4DF18309" w:rsidR="0080386C" w:rsidRPr="00095CB8" w:rsidRDefault="0080386C">
      <w:pPr>
        <w:pStyle w:val="Testonotaapidipagina"/>
        <w:rPr>
          <w:rFonts w:ascii="Times New Roman" w:hAnsi="Times New Roman" w:cs="Times New Roman"/>
          <w:sz w:val="14"/>
          <w:szCs w:val="14"/>
        </w:rPr>
      </w:pPr>
      <w:r w:rsidRPr="00095CB8">
        <w:rPr>
          <w:rStyle w:val="Rimandonotaapidipagina"/>
          <w:rFonts w:ascii="Times New Roman" w:hAnsi="Times New Roman" w:cs="Times New Roman"/>
          <w:sz w:val="14"/>
          <w:szCs w:val="14"/>
        </w:rPr>
        <w:footnoteRef/>
      </w:r>
      <w:r w:rsidRPr="00095CB8">
        <w:rPr>
          <w:rFonts w:ascii="Times New Roman" w:hAnsi="Times New Roman" w:cs="Times New Roman"/>
          <w:sz w:val="14"/>
          <w:szCs w:val="14"/>
        </w:rPr>
        <w:t xml:space="preserve"> Analogamente ai margini di tesoreria e di liquidità</w:t>
      </w:r>
    </w:p>
  </w:footnote>
  <w:footnote w:id="3">
    <w:p w14:paraId="48DCCD22" w14:textId="77777777" w:rsidR="0080386C" w:rsidRPr="00095CB8" w:rsidRDefault="0080386C" w:rsidP="00702E9B">
      <w:pPr>
        <w:pStyle w:val="Testonotaapidipagina"/>
        <w:rPr>
          <w:rFonts w:ascii="Times New Roman" w:hAnsi="Times New Roman" w:cs="Times New Roman"/>
          <w:sz w:val="14"/>
          <w:szCs w:val="14"/>
        </w:rPr>
      </w:pPr>
      <w:r w:rsidRPr="00095CB8">
        <w:rPr>
          <w:rStyle w:val="Rimandonotaapidipagina"/>
          <w:rFonts w:ascii="Times New Roman" w:hAnsi="Times New Roman" w:cs="Times New Roman"/>
          <w:sz w:val="14"/>
          <w:szCs w:val="14"/>
        </w:rPr>
        <w:footnoteRef/>
      </w:r>
      <w:r w:rsidRPr="00095CB8">
        <w:rPr>
          <w:rFonts w:ascii="Times New Roman" w:hAnsi="Times New Roman" w:cs="Times New Roman"/>
          <w:sz w:val="14"/>
          <w:szCs w:val="14"/>
        </w:rPr>
        <w:t xml:space="preserve"> Nell’analisi restituiscono valori coincidenti in quanto non sono presenti rimanenze nell’attivo della società. </w:t>
      </w:r>
    </w:p>
  </w:footnote>
  <w:footnote w:id="4">
    <w:p w14:paraId="5A1ADBE0" w14:textId="09421233" w:rsidR="0080386C" w:rsidRDefault="0080386C">
      <w:pPr>
        <w:pStyle w:val="Testonotaapidipagina"/>
      </w:pPr>
      <w:r w:rsidRPr="00095CB8">
        <w:rPr>
          <w:rStyle w:val="Rimandonotaapidipagina"/>
          <w:rFonts w:ascii="Times New Roman" w:hAnsi="Times New Roman" w:cs="Times New Roman"/>
          <w:sz w:val="14"/>
          <w:szCs w:val="14"/>
        </w:rPr>
        <w:footnoteRef/>
      </w:r>
      <w:r w:rsidRPr="00095CB8">
        <w:rPr>
          <w:rFonts w:ascii="Times New Roman" w:hAnsi="Times New Roman" w:cs="Times New Roman"/>
          <w:sz w:val="14"/>
          <w:szCs w:val="14"/>
        </w:rPr>
        <w:t xml:space="preserve"> Analogamente al margine di struttura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AB10" w14:textId="4149CC3E" w:rsidR="0080386C" w:rsidRDefault="0080386C" w:rsidP="00AF3080">
    <w:pPr>
      <w:pStyle w:val="Intestazione"/>
      <w:tabs>
        <w:tab w:val="clear" w:pos="9638"/>
        <w:tab w:val="right" w:pos="9070"/>
      </w:tabs>
    </w:pPr>
    <w:r>
      <w:rPr>
        <w:noProof/>
        <w:lang w:eastAsia="it-IT"/>
      </w:rPr>
      <mc:AlternateContent>
        <mc:Choice Requires="wps">
          <w:drawing>
            <wp:anchor distT="0" distB="0" distL="114300" distR="114300" simplePos="0" relativeHeight="251677696" behindDoc="0" locked="0" layoutInCell="0" allowOverlap="1" wp14:anchorId="3715C3D2" wp14:editId="59063351">
              <wp:simplePos x="0" y="0"/>
              <wp:positionH relativeFrom="rightMargin">
                <wp:posOffset>244135</wp:posOffset>
              </wp:positionH>
              <wp:positionV relativeFrom="margin">
                <wp:posOffset>2993139</wp:posOffset>
              </wp:positionV>
              <wp:extent cx="727710" cy="329565"/>
              <wp:effectExtent l="0" t="0" r="0" b="381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4095A1" w14:textId="13A0C7EC" w:rsidR="0080386C" w:rsidRDefault="0080386C" w:rsidP="001665D8">
                          <w:pPr>
                            <w:pBdr>
                              <w:bottom w:val="single" w:sz="18" w:space="1" w:color="808080" w:themeColor="background1" w:themeShade="80"/>
                            </w:pBdr>
                          </w:pPr>
                          <w:r>
                            <w:fldChar w:fldCharType="begin"/>
                          </w:r>
                          <w:r>
                            <w:instrText>PAGE   \* MERGEFORMAT</w:instrText>
                          </w:r>
                          <w:r>
                            <w:fldChar w:fldCharType="separate"/>
                          </w:r>
                          <w:r w:rsidR="0034322D">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715C3D2" id="Rettangolo 25" o:spid="_x0000_s1026" style="position:absolute;margin-left:19.2pt;margin-top:235.7pt;width:57.3pt;height:25.95pt;z-index:251677696;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" o:allowincell="f" stroked="f">
              <v:textbox>
                <w:txbxContent>
                  <w:p w14:paraId="5A4095A1" w14:textId="13A0C7EC" w:rsidR="0080386C" w:rsidRDefault="0080386C" w:rsidP="001665D8">
                    <w:pPr>
                      <w:pBdr>
                        <w:bottom w:val="single" w:sz="18" w:space="1" w:color="808080" w:themeColor="background1" w:themeShade="80"/>
                      </w:pBdr>
                    </w:pPr>
                    <w:r>
                      <w:fldChar w:fldCharType="begin"/>
                    </w:r>
                    <w:r>
                      <w:instrText>PAGE   \* MERGEFORMAT</w:instrText>
                    </w:r>
                    <w:r>
                      <w:fldChar w:fldCharType="separate"/>
                    </w:r>
                    <w:r w:rsidR="0034322D">
                      <w:rPr>
                        <w:noProof/>
                      </w:rPr>
                      <w:t>7</w:t>
                    </w:r>
                    <w:r>
                      <w:fldChar w:fldCharType="end"/>
                    </w:r>
                  </w:p>
                </w:txbxContent>
              </v:textbox>
              <w10:wrap anchorx="margin" anchory="margin"/>
            </v:rect>
          </w:pict>
        </mc:Fallback>
      </mc:AlternateContent>
    </w:r>
    <w:sdt>
      <w:sdtPr>
        <w:id w:val="-654215614"/>
        <w:docPartObj>
          <w:docPartGallery w:val="Page Numbers (Margin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BD735" w14:textId="77777777" w:rsidR="0080386C" w:rsidRDefault="0080386C">
    <w:pPr>
      <w:pStyle w:val="Intestazione"/>
      <w:rPr>
        <w:noProof/>
        <w:lang w:eastAsia="it-IT"/>
      </w:rPr>
    </w:pPr>
  </w:p>
  <w:p w14:paraId="71AEEAEC" w14:textId="189C18D2" w:rsidR="0080386C" w:rsidRDefault="0080386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1875"/>
    <w:multiLevelType w:val="hybridMultilevel"/>
    <w:tmpl w:val="0D8AC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8A4913"/>
    <w:multiLevelType w:val="hybridMultilevel"/>
    <w:tmpl w:val="8E2213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C6359"/>
    <w:multiLevelType w:val="hybridMultilevel"/>
    <w:tmpl w:val="F51CE6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E02557"/>
    <w:multiLevelType w:val="hybridMultilevel"/>
    <w:tmpl w:val="1FEACC7C"/>
    <w:lvl w:ilvl="0" w:tplc="D77C5BB8">
      <w:start w:val="7"/>
      <w:numFmt w:val="bullet"/>
      <w:lvlText w:val="-"/>
      <w:lvlJc w:val="left"/>
      <w:pPr>
        <w:ind w:left="786"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2A2B5A"/>
    <w:multiLevelType w:val="hybridMultilevel"/>
    <w:tmpl w:val="5B2893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28524F"/>
    <w:multiLevelType w:val="hybridMultilevel"/>
    <w:tmpl w:val="DBFCF4D6"/>
    <w:lvl w:ilvl="0" w:tplc="46F6BF06">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604D5B"/>
    <w:multiLevelType w:val="hybridMultilevel"/>
    <w:tmpl w:val="AE625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1040D7"/>
    <w:multiLevelType w:val="hybridMultilevel"/>
    <w:tmpl w:val="C8D67806"/>
    <w:lvl w:ilvl="0" w:tplc="8E9A23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D84AC6"/>
    <w:multiLevelType w:val="hybridMultilevel"/>
    <w:tmpl w:val="D80A9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0116B8"/>
    <w:multiLevelType w:val="hybridMultilevel"/>
    <w:tmpl w:val="4A2CCD18"/>
    <w:lvl w:ilvl="0" w:tplc="0B10DF84">
      <w:numFmt w:val="bullet"/>
      <w:lvlText w:val="-"/>
      <w:lvlJc w:val="left"/>
      <w:pPr>
        <w:ind w:left="720" w:hanging="360"/>
      </w:pPr>
      <w:rPr>
        <w:rFonts w:ascii="Calibri" w:eastAsiaTheme="minorEastAsia" w:hAnsi="Calibri"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12074A"/>
    <w:multiLevelType w:val="hybridMultilevel"/>
    <w:tmpl w:val="94D2C2B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6BC0A2B"/>
    <w:multiLevelType w:val="hybridMultilevel"/>
    <w:tmpl w:val="924E514E"/>
    <w:lvl w:ilvl="0" w:tplc="46F6BF06">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A77088F"/>
    <w:multiLevelType w:val="hybridMultilevel"/>
    <w:tmpl w:val="9DBEEEFC"/>
    <w:lvl w:ilvl="0" w:tplc="F65A6686">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B0F3968"/>
    <w:multiLevelType w:val="hybridMultilevel"/>
    <w:tmpl w:val="31D63E54"/>
    <w:lvl w:ilvl="0" w:tplc="AB4AABE2">
      <w:start w:val="1"/>
      <w:numFmt w:val="lowerLetter"/>
      <w:lvlText w:val="%1)"/>
      <w:lvlJc w:val="left"/>
      <w:pPr>
        <w:ind w:left="857" w:hanging="360"/>
      </w:pPr>
      <w:rPr>
        <w:rFonts w:ascii="Calibri" w:eastAsiaTheme="minorEastAsia" w:hAnsi="Calibri" w:cs="Calibri" w:hint="default"/>
      </w:rPr>
    </w:lvl>
    <w:lvl w:ilvl="1" w:tplc="04100019" w:tentative="1">
      <w:start w:val="1"/>
      <w:numFmt w:val="lowerLetter"/>
      <w:lvlText w:val="%2."/>
      <w:lvlJc w:val="left"/>
      <w:pPr>
        <w:ind w:left="1577" w:hanging="360"/>
      </w:pPr>
    </w:lvl>
    <w:lvl w:ilvl="2" w:tplc="0410001B" w:tentative="1">
      <w:start w:val="1"/>
      <w:numFmt w:val="lowerRoman"/>
      <w:lvlText w:val="%3."/>
      <w:lvlJc w:val="right"/>
      <w:pPr>
        <w:ind w:left="2297" w:hanging="180"/>
      </w:pPr>
    </w:lvl>
    <w:lvl w:ilvl="3" w:tplc="0410000F" w:tentative="1">
      <w:start w:val="1"/>
      <w:numFmt w:val="decimal"/>
      <w:lvlText w:val="%4."/>
      <w:lvlJc w:val="left"/>
      <w:pPr>
        <w:ind w:left="3017" w:hanging="360"/>
      </w:pPr>
    </w:lvl>
    <w:lvl w:ilvl="4" w:tplc="04100019" w:tentative="1">
      <w:start w:val="1"/>
      <w:numFmt w:val="lowerLetter"/>
      <w:lvlText w:val="%5."/>
      <w:lvlJc w:val="left"/>
      <w:pPr>
        <w:ind w:left="3737" w:hanging="360"/>
      </w:pPr>
    </w:lvl>
    <w:lvl w:ilvl="5" w:tplc="0410001B" w:tentative="1">
      <w:start w:val="1"/>
      <w:numFmt w:val="lowerRoman"/>
      <w:lvlText w:val="%6."/>
      <w:lvlJc w:val="right"/>
      <w:pPr>
        <w:ind w:left="4457" w:hanging="180"/>
      </w:pPr>
    </w:lvl>
    <w:lvl w:ilvl="6" w:tplc="0410000F" w:tentative="1">
      <w:start w:val="1"/>
      <w:numFmt w:val="decimal"/>
      <w:lvlText w:val="%7."/>
      <w:lvlJc w:val="left"/>
      <w:pPr>
        <w:ind w:left="5177" w:hanging="360"/>
      </w:pPr>
    </w:lvl>
    <w:lvl w:ilvl="7" w:tplc="04100019" w:tentative="1">
      <w:start w:val="1"/>
      <w:numFmt w:val="lowerLetter"/>
      <w:lvlText w:val="%8."/>
      <w:lvlJc w:val="left"/>
      <w:pPr>
        <w:ind w:left="5897" w:hanging="360"/>
      </w:pPr>
    </w:lvl>
    <w:lvl w:ilvl="8" w:tplc="0410001B" w:tentative="1">
      <w:start w:val="1"/>
      <w:numFmt w:val="lowerRoman"/>
      <w:lvlText w:val="%9."/>
      <w:lvlJc w:val="right"/>
      <w:pPr>
        <w:ind w:left="6617" w:hanging="180"/>
      </w:pPr>
    </w:lvl>
  </w:abstractNum>
  <w:abstractNum w:abstractNumId="14" w15:restartNumberingAfterBreak="0">
    <w:nsid w:val="7D980B9D"/>
    <w:multiLevelType w:val="hybridMultilevel"/>
    <w:tmpl w:val="50B6D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3"/>
  </w:num>
  <w:num w:numId="4">
    <w:abstractNumId w:val="12"/>
  </w:num>
  <w:num w:numId="5">
    <w:abstractNumId w:val="2"/>
  </w:num>
  <w:num w:numId="6">
    <w:abstractNumId w:val="9"/>
  </w:num>
  <w:num w:numId="7">
    <w:abstractNumId w:val="1"/>
  </w:num>
  <w:num w:numId="8">
    <w:abstractNumId w:val="6"/>
  </w:num>
  <w:num w:numId="9">
    <w:abstractNumId w:val="5"/>
  </w:num>
  <w:num w:numId="10">
    <w:abstractNumId w:val="11"/>
  </w:num>
  <w:num w:numId="11">
    <w:abstractNumId w:val="7"/>
  </w:num>
  <w:num w:numId="12">
    <w:abstractNumId w:val="14"/>
  </w:num>
  <w:num w:numId="13">
    <w:abstractNumId w:val="0"/>
  </w:num>
  <w:num w:numId="14">
    <w:abstractNumId w:val="8"/>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9"/>
    <w:rsid w:val="00001468"/>
    <w:rsid w:val="000023B1"/>
    <w:rsid w:val="00005B13"/>
    <w:rsid w:val="00013D4D"/>
    <w:rsid w:val="00014858"/>
    <w:rsid w:val="000209D6"/>
    <w:rsid w:val="00021C59"/>
    <w:rsid w:val="0002452E"/>
    <w:rsid w:val="000330E7"/>
    <w:rsid w:val="00034ABE"/>
    <w:rsid w:val="00034EC5"/>
    <w:rsid w:val="00040B53"/>
    <w:rsid w:val="0004171D"/>
    <w:rsid w:val="00042CDF"/>
    <w:rsid w:val="00043638"/>
    <w:rsid w:val="00045152"/>
    <w:rsid w:val="0004565D"/>
    <w:rsid w:val="00045863"/>
    <w:rsid w:val="00050BDD"/>
    <w:rsid w:val="0005244A"/>
    <w:rsid w:val="00053B4E"/>
    <w:rsid w:val="00053F6A"/>
    <w:rsid w:val="00056F03"/>
    <w:rsid w:val="00063C90"/>
    <w:rsid w:val="00064BA3"/>
    <w:rsid w:val="00066C9F"/>
    <w:rsid w:val="00071CFE"/>
    <w:rsid w:val="000773DE"/>
    <w:rsid w:val="00077BF1"/>
    <w:rsid w:val="00083AB8"/>
    <w:rsid w:val="000874A3"/>
    <w:rsid w:val="0009081E"/>
    <w:rsid w:val="00091C70"/>
    <w:rsid w:val="00095CB8"/>
    <w:rsid w:val="00096395"/>
    <w:rsid w:val="000A0F39"/>
    <w:rsid w:val="000A1F1A"/>
    <w:rsid w:val="000A42BD"/>
    <w:rsid w:val="000B02C9"/>
    <w:rsid w:val="000B04B5"/>
    <w:rsid w:val="000B4312"/>
    <w:rsid w:val="000C350B"/>
    <w:rsid w:val="000C4B2C"/>
    <w:rsid w:val="000D1C87"/>
    <w:rsid w:val="000D39EF"/>
    <w:rsid w:val="000D5660"/>
    <w:rsid w:val="000E0D2C"/>
    <w:rsid w:val="000E0F66"/>
    <w:rsid w:val="000E5EB5"/>
    <w:rsid w:val="000E7BB1"/>
    <w:rsid w:val="000F0708"/>
    <w:rsid w:val="000F2815"/>
    <w:rsid w:val="000F3DC4"/>
    <w:rsid w:val="000F6C41"/>
    <w:rsid w:val="00107300"/>
    <w:rsid w:val="00107818"/>
    <w:rsid w:val="00107FB0"/>
    <w:rsid w:val="00110009"/>
    <w:rsid w:val="00112A6F"/>
    <w:rsid w:val="00112B50"/>
    <w:rsid w:val="00114350"/>
    <w:rsid w:val="001169E7"/>
    <w:rsid w:val="001177AD"/>
    <w:rsid w:val="00121EC2"/>
    <w:rsid w:val="00123523"/>
    <w:rsid w:val="001251D0"/>
    <w:rsid w:val="001364A6"/>
    <w:rsid w:val="00136E24"/>
    <w:rsid w:val="00142155"/>
    <w:rsid w:val="0014481D"/>
    <w:rsid w:val="001503E5"/>
    <w:rsid w:val="00150698"/>
    <w:rsid w:val="001526B2"/>
    <w:rsid w:val="00153A59"/>
    <w:rsid w:val="00154165"/>
    <w:rsid w:val="00155D43"/>
    <w:rsid w:val="00161E8B"/>
    <w:rsid w:val="001665D8"/>
    <w:rsid w:val="00170F63"/>
    <w:rsid w:val="0017111A"/>
    <w:rsid w:val="00171903"/>
    <w:rsid w:val="00173F1E"/>
    <w:rsid w:val="001765DA"/>
    <w:rsid w:val="00176F69"/>
    <w:rsid w:val="001771A0"/>
    <w:rsid w:val="00184369"/>
    <w:rsid w:val="001851E4"/>
    <w:rsid w:val="001877F6"/>
    <w:rsid w:val="0019277B"/>
    <w:rsid w:val="001934A0"/>
    <w:rsid w:val="00194029"/>
    <w:rsid w:val="0019410D"/>
    <w:rsid w:val="00194525"/>
    <w:rsid w:val="001A1D0C"/>
    <w:rsid w:val="001A1E11"/>
    <w:rsid w:val="001A2E2E"/>
    <w:rsid w:val="001A2E36"/>
    <w:rsid w:val="001A5A99"/>
    <w:rsid w:val="001A6868"/>
    <w:rsid w:val="001A78A1"/>
    <w:rsid w:val="001B03C6"/>
    <w:rsid w:val="001B3870"/>
    <w:rsid w:val="001B3B8D"/>
    <w:rsid w:val="001B6DF4"/>
    <w:rsid w:val="001C16E2"/>
    <w:rsid w:val="001C2B0D"/>
    <w:rsid w:val="001C2ED9"/>
    <w:rsid w:val="001C4BE0"/>
    <w:rsid w:val="001D486E"/>
    <w:rsid w:val="001D7F38"/>
    <w:rsid w:val="001E0704"/>
    <w:rsid w:val="001E1A36"/>
    <w:rsid w:val="001E3086"/>
    <w:rsid w:val="001E7321"/>
    <w:rsid w:val="001F05D2"/>
    <w:rsid w:val="002033E8"/>
    <w:rsid w:val="002074EF"/>
    <w:rsid w:val="00207A82"/>
    <w:rsid w:val="0022240D"/>
    <w:rsid w:val="00223C4A"/>
    <w:rsid w:val="002253A4"/>
    <w:rsid w:val="00226E97"/>
    <w:rsid w:val="002304CC"/>
    <w:rsid w:val="002332D1"/>
    <w:rsid w:val="00235917"/>
    <w:rsid w:val="002443CE"/>
    <w:rsid w:val="00246CF5"/>
    <w:rsid w:val="00250FA9"/>
    <w:rsid w:val="00252AD8"/>
    <w:rsid w:val="00254B82"/>
    <w:rsid w:val="002610BE"/>
    <w:rsid w:val="002647B2"/>
    <w:rsid w:val="00265179"/>
    <w:rsid w:val="00267D6F"/>
    <w:rsid w:val="00275388"/>
    <w:rsid w:val="00275FD3"/>
    <w:rsid w:val="002805F3"/>
    <w:rsid w:val="00286B34"/>
    <w:rsid w:val="002978A9"/>
    <w:rsid w:val="00297CF2"/>
    <w:rsid w:val="002A5D32"/>
    <w:rsid w:val="002B0EBF"/>
    <w:rsid w:val="002B57BA"/>
    <w:rsid w:val="002B7F0B"/>
    <w:rsid w:val="002C542A"/>
    <w:rsid w:val="002D02C6"/>
    <w:rsid w:val="002D1907"/>
    <w:rsid w:val="002D2CC7"/>
    <w:rsid w:val="002D315B"/>
    <w:rsid w:val="002D4BF3"/>
    <w:rsid w:val="002D5714"/>
    <w:rsid w:val="002D607E"/>
    <w:rsid w:val="002D7212"/>
    <w:rsid w:val="002E30D5"/>
    <w:rsid w:val="002F0151"/>
    <w:rsid w:val="002F1B31"/>
    <w:rsid w:val="002F55AA"/>
    <w:rsid w:val="002F6101"/>
    <w:rsid w:val="00301EE9"/>
    <w:rsid w:val="003028AA"/>
    <w:rsid w:val="00306377"/>
    <w:rsid w:val="003073B7"/>
    <w:rsid w:val="003115C2"/>
    <w:rsid w:val="00312B3E"/>
    <w:rsid w:val="0032273C"/>
    <w:rsid w:val="00325387"/>
    <w:rsid w:val="003336CB"/>
    <w:rsid w:val="003415B0"/>
    <w:rsid w:val="0034322D"/>
    <w:rsid w:val="0034515F"/>
    <w:rsid w:val="00352141"/>
    <w:rsid w:val="00353792"/>
    <w:rsid w:val="00356587"/>
    <w:rsid w:val="0036570D"/>
    <w:rsid w:val="0036597A"/>
    <w:rsid w:val="00370578"/>
    <w:rsid w:val="003717A2"/>
    <w:rsid w:val="003724F0"/>
    <w:rsid w:val="003750D4"/>
    <w:rsid w:val="003802B7"/>
    <w:rsid w:val="00380B67"/>
    <w:rsid w:val="00386D71"/>
    <w:rsid w:val="00386ED1"/>
    <w:rsid w:val="00390CDD"/>
    <w:rsid w:val="00391823"/>
    <w:rsid w:val="0039502A"/>
    <w:rsid w:val="003A49BA"/>
    <w:rsid w:val="003B01FA"/>
    <w:rsid w:val="003B1243"/>
    <w:rsid w:val="003B20F9"/>
    <w:rsid w:val="003B364D"/>
    <w:rsid w:val="003C1BEF"/>
    <w:rsid w:val="003C51DC"/>
    <w:rsid w:val="003C529F"/>
    <w:rsid w:val="003C6C26"/>
    <w:rsid w:val="003D24D7"/>
    <w:rsid w:val="003D54B1"/>
    <w:rsid w:val="003E6B9F"/>
    <w:rsid w:val="003F312B"/>
    <w:rsid w:val="003F3915"/>
    <w:rsid w:val="0040142F"/>
    <w:rsid w:val="00402311"/>
    <w:rsid w:val="0041118E"/>
    <w:rsid w:val="00414B7C"/>
    <w:rsid w:val="0042265E"/>
    <w:rsid w:val="0042543A"/>
    <w:rsid w:val="00427DEF"/>
    <w:rsid w:val="00430ECB"/>
    <w:rsid w:val="00431C4E"/>
    <w:rsid w:val="004356F3"/>
    <w:rsid w:val="0044030B"/>
    <w:rsid w:val="00450ABB"/>
    <w:rsid w:val="00451778"/>
    <w:rsid w:val="004521B6"/>
    <w:rsid w:val="0046358A"/>
    <w:rsid w:val="00471806"/>
    <w:rsid w:val="004718CE"/>
    <w:rsid w:val="00472D33"/>
    <w:rsid w:val="00472EF6"/>
    <w:rsid w:val="00482B56"/>
    <w:rsid w:val="004846D2"/>
    <w:rsid w:val="00484967"/>
    <w:rsid w:val="004854D7"/>
    <w:rsid w:val="00486467"/>
    <w:rsid w:val="00492484"/>
    <w:rsid w:val="004938D2"/>
    <w:rsid w:val="00494FB5"/>
    <w:rsid w:val="004A101C"/>
    <w:rsid w:val="004A2291"/>
    <w:rsid w:val="004B04A5"/>
    <w:rsid w:val="004B4B36"/>
    <w:rsid w:val="004B4D31"/>
    <w:rsid w:val="004B54D9"/>
    <w:rsid w:val="004C34F0"/>
    <w:rsid w:val="004C6144"/>
    <w:rsid w:val="004D0CF0"/>
    <w:rsid w:val="004D1557"/>
    <w:rsid w:val="004D1C4D"/>
    <w:rsid w:val="004D2889"/>
    <w:rsid w:val="004D2B95"/>
    <w:rsid w:val="004D2E3E"/>
    <w:rsid w:val="004D5EC5"/>
    <w:rsid w:val="004E5BF7"/>
    <w:rsid w:val="004F146F"/>
    <w:rsid w:val="004F240D"/>
    <w:rsid w:val="004F5484"/>
    <w:rsid w:val="004F6710"/>
    <w:rsid w:val="0050337F"/>
    <w:rsid w:val="00505092"/>
    <w:rsid w:val="005077B4"/>
    <w:rsid w:val="005111D3"/>
    <w:rsid w:val="0051587A"/>
    <w:rsid w:val="00520524"/>
    <w:rsid w:val="00520B48"/>
    <w:rsid w:val="005255AD"/>
    <w:rsid w:val="005272ED"/>
    <w:rsid w:val="00534DB6"/>
    <w:rsid w:val="005367BE"/>
    <w:rsid w:val="00536EB2"/>
    <w:rsid w:val="00540536"/>
    <w:rsid w:val="00545601"/>
    <w:rsid w:val="00547537"/>
    <w:rsid w:val="005509A0"/>
    <w:rsid w:val="00553620"/>
    <w:rsid w:val="00567738"/>
    <w:rsid w:val="005758B9"/>
    <w:rsid w:val="005762C3"/>
    <w:rsid w:val="005807D4"/>
    <w:rsid w:val="0058099C"/>
    <w:rsid w:val="00583F47"/>
    <w:rsid w:val="00584600"/>
    <w:rsid w:val="0059076F"/>
    <w:rsid w:val="00590B9E"/>
    <w:rsid w:val="005919E9"/>
    <w:rsid w:val="005960F0"/>
    <w:rsid w:val="005A6369"/>
    <w:rsid w:val="005A7777"/>
    <w:rsid w:val="005A7E0B"/>
    <w:rsid w:val="005B0F7C"/>
    <w:rsid w:val="005B12DA"/>
    <w:rsid w:val="005B235B"/>
    <w:rsid w:val="005B6A36"/>
    <w:rsid w:val="005B749C"/>
    <w:rsid w:val="005C1D91"/>
    <w:rsid w:val="005C418A"/>
    <w:rsid w:val="005C5880"/>
    <w:rsid w:val="005C6147"/>
    <w:rsid w:val="005D7DB2"/>
    <w:rsid w:val="005E1EBD"/>
    <w:rsid w:val="005E1F6A"/>
    <w:rsid w:val="005E213E"/>
    <w:rsid w:val="005E5B72"/>
    <w:rsid w:val="005F0073"/>
    <w:rsid w:val="005F4E12"/>
    <w:rsid w:val="005F76C9"/>
    <w:rsid w:val="005F7821"/>
    <w:rsid w:val="00616A31"/>
    <w:rsid w:val="00623C1D"/>
    <w:rsid w:val="006261D6"/>
    <w:rsid w:val="00640D99"/>
    <w:rsid w:val="00642B49"/>
    <w:rsid w:val="00643E92"/>
    <w:rsid w:val="00644EC6"/>
    <w:rsid w:val="00645214"/>
    <w:rsid w:val="00650227"/>
    <w:rsid w:val="00650FDF"/>
    <w:rsid w:val="00652BAA"/>
    <w:rsid w:val="00652F47"/>
    <w:rsid w:val="00663B56"/>
    <w:rsid w:val="0066485F"/>
    <w:rsid w:val="006676B2"/>
    <w:rsid w:val="00675315"/>
    <w:rsid w:val="00681F5A"/>
    <w:rsid w:val="00686456"/>
    <w:rsid w:val="00691A07"/>
    <w:rsid w:val="006A44D6"/>
    <w:rsid w:val="006A6A18"/>
    <w:rsid w:val="006A74A3"/>
    <w:rsid w:val="006B2A06"/>
    <w:rsid w:val="006B2FC2"/>
    <w:rsid w:val="006B6BE0"/>
    <w:rsid w:val="006D040A"/>
    <w:rsid w:val="006E21C2"/>
    <w:rsid w:val="006E3271"/>
    <w:rsid w:val="006F78E5"/>
    <w:rsid w:val="00702E9B"/>
    <w:rsid w:val="007038D1"/>
    <w:rsid w:val="0070463A"/>
    <w:rsid w:val="00712667"/>
    <w:rsid w:val="00721BDF"/>
    <w:rsid w:val="0072498B"/>
    <w:rsid w:val="00724B43"/>
    <w:rsid w:val="00725B4C"/>
    <w:rsid w:val="00727138"/>
    <w:rsid w:val="007331CE"/>
    <w:rsid w:val="00734BCF"/>
    <w:rsid w:val="007362C4"/>
    <w:rsid w:val="007365CB"/>
    <w:rsid w:val="00741965"/>
    <w:rsid w:val="007471F7"/>
    <w:rsid w:val="00747B67"/>
    <w:rsid w:val="007527A0"/>
    <w:rsid w:val="00760555"/>
    <w:rsid w:val="00762C34"/>
    <w:rsid w:val="00763A0B"/>
    <w:rsid w:val="00763BB8"/>
    <w:rsid w:val="00764390"/>
    <w:rsid w:val="007646BA"/>
    <w:rsid w:val="0076519D"/>
    <w:rsid w:val="00771629"/>
    <w:rsid w:val="00771DB9"/>
    <w:rsid w:val="007762C8"/>
    <w:rsid w:val="00777057"/>
    <w:rsid w:val="007803FA"/>
    <w:rsid w:val="00781CB1"/>
    <w:rsid w:val="0078203E"/>
    <w:rsid w:val="007824F6"/>
    <w:rsid w:val="00787C0E"/>
    <w:rsid w:val="00791AF3"/>
    <w:rsid w:val="0079318E"/>
    <w:rsid w:val="007A5C18"/>
    <w:rsid w:val="007A62F6"/>
    <w:rsid w:val="007A7553"/>
    <w:rsid w:val="007A7D06"/>
    <w:rsid w:val="007B3991"/>
    <w:rsid w:val="007B64D5"/>
    <w:rsid w:val="007C0129"/>
    <w:rsid w:val="007C39E7"/>
    <w:rsid w:val="007D3A57"/>
    <w:rsid w:val="007D7DFC"/>
    <w:rsid w:val="007E0DBB"/>
    <w:rsid w:val="007E115D"/>
    <w:rsid w:val="007E7895"/>
    <w:rsid w:val="0080278C"/>
    <w:rsid w:val="008035AB"/>
    <w:rsid w:val="0080386C"/>
    <w:rsid w:val="00803976"/>
    <w:rsid w:val="00805B2D"/>
    <w:rsid w:val="00806986"/>
    <w:rsid w:val="00810CE8"/>
    <w:rsid w:val="00815B28"/>
    <w:rsid w:val="00817944"/>
    <w:rsid w:val="00820882"/>
    <w:rsid w:val="0082178F"/>
    <w:rsid w:val="0082451C"/>
    <w:rsid w:val="008249B2"/>
    <w:rsid w:val="008315BB"/>
    <w:rsid w:val="0083542C"/>
    <w:rsid w:val="00846637"/>
    <w:rsid w:val="00846C28"/>
    <w:rsid w:val="00853A5A"/>
    <w:rsid w:val="00861CF1"/>
    <w:rsid w:val="008630AC"/>
    <w:rsid w:val="0086351E"/>
    <w:rsid w:val="00871E62"/>
    <w:rsid w:val="008745D6"/>
    <w:rsid w:val="00874E5A"/>
    <w:rsid w:val="008750FA"/>
    <w:rsid w:val="00875445"/>
    <w:rsid w:val="00885925"/>
    <w:rsid w:val="00890BB8"/>
    <w:rsid w:val="00890E83"/>
    <w:rsid w:val="00894CAA"/>
    <w:rsid w:val="00897421"/>
    <w:rsid w:val="00897572"/>
    <w:rsid w:val="008A0C1D"/>
    <w:rsid w:val="008A41BE"/>
    <w:rsid w:val="008A447A"/>
    <w:rsid w:val="008B07F6"/>
    <w:rsid w:val="008C0A41"/>
    <w:rsid w:val="008C6AD7"/>
    <w:rsid w:val="008C7DAC"/>
    <w:rsid w:val="008D0D03"/>
    <w:rsid w:val="008D14AC"/>
    <w:rsid w:val="008D2A92"/>
    <w:rsid w:val="008D3193"/>
    <w:rsid w:val="008D410D"/>
    <w:rsid w:val="008D758E"/>
    <w:rsid w:val="008E034D"/>
    <w:rsid w:val="008E0FCA"/>
    <w:rsid w:val="008E7B90"/>
    <w:rsid w:val="008E7CD8"/>
    <w:rsid w:val="00900042"/>
    <w:rsid w:val="00903273"/>
    <w:rsid w:val="00906D48"/>
    <w:rsid w:val="0091028C"/>
    <w:rsid w:val="00910FCC"/>
    <w:rsid w:val="009112BA"/>
    <w:rsid w:val="00911398"/>
    <w:rsid w:val="009206A4"/>
    <w:rsid w:val="00923DA3"/>
    <w:rsid w:val="009328BB"/>
    <w:rsid w:val="00932C5E"/>
    <w:rsid w:val="00937261"/>
    <w:rsid w:val="009434FA"/>
    <w:rsid w:val="00946ADB"/>
    <w:rsid w:val="00947ACC"/>
    <w:rsid w:val="00952D7D"/>
    <w:rsid w:val="00972BC1"/>
    <w:rsid w:val="009756AB"/>
    <w:rsid w:val="00981AB9"/>
    <w:rsid w:val="009839D7"/>
    <w:rsid w:val="00984500"/>
    <w:rsid w:val="009852D4"/>
    <w:rsid w:val="00987960"/>
    <w:rsid w:val="0099006B"/>
    <w:rsid w:val="00990C45"/>
    <w:rsid w:val="00992CD9"/>
    <w:rsid w:val="00994175"/>
    <w:rsid w:val="009979F6"/>
    <w:rsid w:val="00997B27"/>
    <w:rsid w:val="009A1E7D"/>
    <w:rsid w:val="009A46F7"/>
    <w:rsid w:val="009A48AC"/>
    <w:rsid w:val="009A5E47"/>
    <w:rsid w:val="009B3C6B"/>
    <w:rsid w:val="009B49AF"/>
    <w:rsid w:val="009C0FBA"/>
    <w:rsid w:val="009C4A54"/>
    <w:rsid w:val="009C64CE"/>
    <w:rsid w:val="009C7675"/>
    <w:rsid w:val="009D03F4"/>
    <w:rsid w:val="009D1A4E"/>
    <w:rsid w:val="009D480A"/>
    <w:rsid w:val="009E057D"/>
    <w:rsid w:val="009E3A16"/>
    <w:rsid w:val="009E5858"/>
    <w:rsid w:val="009E6FFB"/>
    <w:rsid w:val="009E7AB1"/>
    <w:rsid w:val="009F086B"/>
    <w:rsid w:val="009F3BAB"/>
    <w:rsid w:val="009F4AA6"/>
    <w:rsid w:val="009F4BE8"/>
    <w:rsid w:val="00A06664"/>
    <w:rsid w:val="00A17476"/>
    <w:rsid w:val="00A26613"/>
    <w:rsid w:val="00A302A1"/>
    <w:rsid w:val="00A363F3"/>
    <w:rsid w:val="00A410BB"/>
    <w:rsid w:val="00A43E8E"/>
    <w:rsid w:val="00A45B80"/>
    <w:rsid w:val="00A5041F"/>
    <w:rsid w:val="00A517FD"/>
    <w:rsid w:val="00A52A1A"/>
    <w:rsid w:val="00A54105"/>
    <w:rsid w:val="00A55322"/>
    <w:rsid w:val="00A63F74"/>
    <w:rsid w:val="00A72987"/>
    <w:rsid w:val="00A766CC"/>
    <w:rsid w:val="00A76B88"/>
    <w:rsid w:val="00A8164C"/>
    <w:rsid w:val="00A82D2A"/>
    <w:rsid w:val="00A85257"/>
    <w:rsid w:val="00A87EB1"/>
    <w:rsid w:val="00A954E3"/>
    <w:rsid w:val="00A962A8"/>
    <w:rsid w:val="00A9661F"/>
    <w:rsid w:val="00A96773"/>
    <w:rsid w:val="00A978E9"/>
    <w:rsid w:val="00A97FBF"/>
    <w:rsid w:val="00AA2B8E"/>
    <w:rsid w:val="00AA2F30"/>
    <w:rsid w:val="00AB1C76"/>
    <w:rsid w:val="00AC03B0"/>
    <w:rsid w:val="00AC4165"/>
    <w:rsid w:val="00AC71CC"/>
    <w:rsid w:val="00AC7FD0"/>
    <w:rsid w:val="00AD11BA"/>
    <w:rsid w:val="00AD1DAB"/>
    <w:rsid w:val="00AD1DCC"/>
    <w:rsid w:val="00AD4D7F"/>
    <w:rsid w:val="00AD6E58"/>
    <w:rsid w:val="00AE08C9"/>
    <w:rsid w:val="00AE0F07"/>
    <w:rsid w:val="00AE379D"/>
    <w:rsid w:val="00AF3080"/>
    <w:rsid w:val="00AF3C14"/>
    <w:rsid w:val="00B00E18"/>
    <w:rsid w:val="00B017C4"/>
    <w:rsid w:val="00B038A5"/>
    <w:rsid w:val="00B048C4"/>
    <w:rsid w:val="00B05626"/>
    <w:rsid w:val="00B05A16"/>
    <w:rsid w:val="00B10891"/>
    <w:rsid w:val="00B12572"/>
    <w:rsid w:val="00B1533E"/>
    <w:rsid w:val="00B158F7"/>
    <w:rsid w:val="00B169D9"/>
    <w:rsid w:val="00B20BD0"/>
    <w:rsid w:val="00B23746"/>
    <w:rsid w:val="00B239BD"/>
    <w:rsid w:val="00B30B77"/>
    <w:rsid w:val="00B36C1D"/>
    <w:rsid w:val="00B41A36"/>
    <w:rsid w:val="00B44383"/>
    <w:rsid w:val="00B526B9"/>
    <w:rsid w:val="00B53417"/>
    <w:rsid w:val="00B57DDB"/>
    <w:rsid w:val="00B63708"/>
    <w:rsid w:val="00B656F9"/>
    <w:rsid w:val="00B704B6"/>
    <w:rsid w:val="00B77FE8"/>
    <w:rsid w:val="00B83021"/>
    <w:rsid w:val="00B833E1"/>
    <w:rsid w:val="00B840FE"/>
    <w:rsid w:val="00B874FD"/>
    <w:rsid w:val="00B87A0C"/>
    <w:rsid w:val="00B90539"/>
    <w:rsid w:val="00B93198"/>
    <w:rsid w:val="00BA117F"/>
    <w:rsid w:val="00BA4728"/>
    <w:rsid w:val="00BA60F3"/>
    <w:rsid w:val="00BA7B03"/>
    <w:rsid w:val="00BB2692"/>
    <w:rsid w:val="00BB373A"/>
    <w:rsid w:val="00BD45BF"/>
    <w:rsid w:val="00BD48E6"/>
    <w:rsid w:val="00BE0B14"/>
    <w:rsid w:val="00BE30DB"/>
    <w:rsid w:val="00BE6FD3"/>
    <w:rsid w:val="00BF4254"/>
    <w:rsid w:val="00BF5BFC"/>
    <w:rsid w:val="00C00B30"/>
    <w:rsid w:val="00C07410"/>
    <w:rsid w:val="00C1128F"/>
    <w:rsid w:val="00C11A52"/>
    <w:rsid w:val="00C13073"/>
    <w:rsid w:val="00C13B52"/>
    <w:rsid w:val="00C172B2"/>
    <w:rsid w:val="00C25300"/>
    <w:rsid w:val="00C25873"/>
    <w:rsid w:val="00C25998"/>
    <w:rsid w:val="00C331B7"/>
    <w:rsid w:val="00C33372"/>
    <w:rsid w:val="00C3468F"/>
    <w:rsid w:val="00C35489"/>
    <w:rsid w:val="00C35F5B"/>
    <w:rsid w:val="00C364DD"/>
    <w:rsid w:val="00C54201"/>
    <w:rsid w:val="00C5470C"/>
    <w:rsid w:val="00C54E0D"/>
    <w:rsid w:val="00C56226"/>
    <w:rsid w:val="00C62F42"/>
    <w:rsid w:val="00C63D8F"/>
    <w:rsid w:val="00C64DEF"/>
    <w:rsid w:val="00C66868"/>
    <w:rsid w:val="00C734C1"/>
    <w:rsid w:val="00C76001"/>
    <w:rsid w:val="00C76540"/>
    <w:rsid w:val="00C82149"/>
    <w:rsid w:val="00C91E34"/>
    <w:rsid w:val="00C93F9F"/>
    <w:rsid w:val="00C96469"/>
    <w:rsid w:val="00CA0425"/>
    <w:rsid w:val="00CA1190"/>
    <w:rsid w:val="00CA1317"/>
    <w:rsid w:val="00CA51C8"/>
    <w:rsid w:val="00CA540F"/>
    <w:rsid w:val="00CB1A6A"/>
    <w:rsid w:val="00CB3F2F"/>
    <w:rsid w:val="00CC3B01"/>
    <w:rsid w:val="00CC3BF7"/>
    <w:rsid w:val="00CC4FD6"/>
    <w:rsid w:val="00CC5BFF"/>
    <w:rsid w:val="00CC6935"/>
    <w:rsid w:val="00CD377A"/>
    <w:rsid w:val="00CD7F19"/>
    <w:rsid w:val="00CE507D"/>
    <w:rsid w:val="00CE6706"/>
    <w:rsid w:val="00CF25BE"/>
    <w:rsid w:val="00CF310F"/>
    <w:rsid w:val="00CF3DA4"/>
    <w:rsid w:val="00CF78A8"/>
    <w:rsid w:val="00D046B6"/>
    <w:rsid w:val="00D12862"/>
    <w:rsid w:val="00D16AAF"/>
    <w:rsid w:val="00D24456"/>
    <w:rsid w:val="00D26DE5"/>
    <w:rsid w:val="00D27102"/>
    <w:rsid w:val="00D31211"/>
    <w:rsid w:val="00D3165E"/>
    <w:rsid w:val="00D33210"/>
    <w:rsid w:val="00D36882"/>
    <w:rsid w:val="00D37F8E"/>
    <w:rsid w:val="00D506E6"/>
    <w:rsid w:val="00D50B9D"/>
    <w:rsid w:val="00D60179"/>
    <w:rsid w:val="00D61235"/>
    <w:rsid w:val="00D627A9"/>
    <w:rsid w:val="00D6555A"/>
    <w:rsid w:val="00D66B95"/>
    <w:rsid w:val="00D67A00"/>
    <w:rsid w:val="00D73743"/>
    <w:rsid w:val="00D85BE2"/>
    <w:rsid w:val="00D937D6"/>
    <w:rsid w:val="00D9396A"/>
    <w:rsid w:val="00DA09A9"/>
    <w:rsid w:val="00DA257F"/>
    <w:rsid w:val="00DB2B9B"/>
    <w:rsid w:val="00DB3D5A"/>
    <w:rsid w:val="00DB5FBF"/>
    <w:rsid w:val="00DB71C1"/>
    <w:rsid w:val="00DC0A2B"/>
    <w:rsid w:val="00DC5D93"/>
    <w:rsid w:val="00DC62B3"/>
    <w:rsid w:val="00DC666C"/>
    <w:rsid w:val="00DC75E1"/>
    <w:rsid w:val="00DD301A"/>
    <w:rsid w:val="00DD670B"/>
    <w:rsid w:val="00DE4203"/>
    <w:rsid w:val="00DF116A"/>
    <w:rsid w:val="00DF1DA3"/>
    <w:rsid w:val="00DF5A33"/>
    <w:rsid w:val="00E02A06"/>
    <w:rsid w:val="00E06A46"/>
    <w:rsid w:val="00E12DB9"/>
    <w:rsid w:val="00E13F41"/>
    <w:rsid w:val="00E14B96"/>
    <w:rsid w:val="00E16C59"/>
    <w:rsid w:val="00E20D85"/>
    <w:rsid w:val="00E213E4"/>
    <w:rsid w:val="00E24D77"/>
    <w:rsid w:val="00E276D4"/>
    <w:rsid w:val="00E32D3B"/>
    <w:rsid w:val="00E356A0"/>
    <w:rsid w:val="00E42BAC"/>
    <w:rsid w:val="00E434C3"/>
    <w:rsid w:val="00E444F3"/>
    <w:rsid w:val="00E507C2"/>
    <w:rsid w:val="00E510EF"/>
    <w:rsid w:val="00E52B8B"/>
    <w:rsid w:val="00E557AE"/>
    <w:rsid w:val="00E559A7"/>
    <w:rsid w:val="00E5703D"/>
    <w:rsid w:val="00E61FA5"/>
    <w:rsid w:val="00E742F3"/>
    <w:rsid w:val="00E82EF6"/>
    <w:rsid w:val="00E8394B"/>
    <w:rsid w:val="00E84A81"/>
    <w:rsid w:val="00E86DAD"/>
    <w:rsid w:val="00E90737"/>
    <w:rsid w:val="00E90C93"/>
    <w:rsid w:val="00E92217"/>
    <w:rsid w:val="00E92864"/>
    <w:rsid w:val="00EA2458"/>
    <w:rsid w:val="00EA4FAC"/>
    <w:rsid w:val="00EA6D70"/>
    <w:rsid w:val="00EB4764"/>
    <w:rsid w:val="00EB7FD7"/>
    <w:rsid w:val="00EC385E"/>
    <w:rsid w:val="00EC4CE6"/>
    <w:rsid w:val="00ED0AD3"/>
    <w:rsid w:val="00ED1BE7"/>
    <w:rsid w:val="00ED26DA"/>
    <w:rsid w:val="00ED2735"/>
    <w:rsid w:val="00ED29DE"/>
    <w:rsid w:val="00EE556F"/>
    <w:rsid w:val="00EE5BAB"/>
    <w:rsid w:val="00EE76A2"/>
    <w:rsid w:val="00EE7A70"/>
    <w:rsid w:val="00EF0AA7"/>
    <w:rsid w:val="00EF53E5"/>
    <w:rsid w:val="00EF5C86"/>
    <w:rsid w:val="00EF6BC7"/>
    <w:rsid w:val="00EF721E"/>
    <w:rsid w:val="00F00381"/>
    <w:rsid w:val="00F05480"/>
    <w:rsid w:val="00F10B49"/>
    <w:rsid w:val="00F120C9"/>
    <w:rsid w:val="00F1329E"/>
    <w:rsid w:val="00F13C54"/>
    <w:rsid w:val="00F17F38"/>
    <w:rsid w:val="00F215CC"/>
    <w:rsid w:val="00F235B5"/>
    <w:rsid w:val="00F26314"/>
    <w:rsid w:val="00F34824"/>
    <w:rsid w:val="00F360E6"/>
    <w:rsid w:val="00F408D8"/>
    <w:rsid w:val="00F41A3C"/>
    <w:rsid w:val="00F42864"/>
    <w:rsid w:val="00F44595"/>
    <w:rsid w:val="00F476CD"/>
    <w:rsid w:val="00F52F8E"/>
    <w:rsid w:val="00F56AF9"/>
    <w:rsid w:val="00F577D3"/>
    <w:rsid w:val="00F803A3"/>
    <w:rsid w:val="00F81027"/>
    <w:rsid w:val="00F810B6"/>
    <w:rsid w:val="00F82F7B"/>
    <w:rsid w:val="00F840FD"/>
    <w:rsid w:val="00F8590C"/>
    <w:rsid w:val="00F87225"/>
    <w:rsid w:val="00F915C8"/>
    <w:rsid w:val="00F9222C"/>
    <w:rsid w:val="00FA1873"/>
    <w:rsid w:val="00FA5D69"/>
    <w:rsid w:val="00FA603E"/>
    <w:rsid w:val="00FB739B"/>
    <w:rsid w:val="00FC6338"/>
    <w:rsid w:val="00FC6407"/>
    <w:rsid w:val="00FC6471"/>
    <w:rsid w:val="00FD4844"/>
    <w:rsid w:val="00FD4F51"/>
    <w:rsid w:val="00FE1627"/>
    <w:rsid w:val="00FE57E3"/>
    <w:rsid w:val="00FF0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8C9CF"/>
  <w15:docId w15:val="{AC4A9145-1AB4-4B64-A033-C912BCA86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5B5"/>
  </w:style>
  <w:style w:type="paragraph" w:styleId="Titolo1">
    <w:name w:val="heading 1"/>
    <w:basedOn w:val="Normale"/>
    <w:next w:val="Normale"/>
    <w:link w:val="Titolo1Carattere"/>
    <w:uiPriority w:val="1"/>
    <w:qFormat/>
    <w:rsid w:val="00972BC1"/>
    <w:pPr>
      <w:keepNext/>
      <w:keepLines/>
      <w:spacing w:before="480" w:after="240"/>
      <w:outlineLvl w:val="0"/>
    </w:pPr>
    <w:rPr>
      <w:rFonts w:eastAsiaTheme="majorEastAsia" w:cstheme="majorBidi"/>
      <w:b/>
      <w:sz w:val="32"/>
      <w:szCs w:val="32"/>
    </w:rPr>
  </w:style>
  <w:style w:type="paragraph" w:styleId="Titolo2">
    <w:name w:val="heading 2"/>
    <w:basedOn w:val="Normale"/>
    <w:next w:val="Normale"/>
    <w:link w:val="Titolo2Carattere"/>
    <w:uiPriority w:val="1"/>
    <w:unhideWhenUsed/>
    <w:qFormat/>
    <w:rsid w:val="00250FA9"/>
    <w:pPr>
      <w:keepNext/>
      <w:keepLines/>
      <w:spacing w:before="480" w:after="240"/>
      <w:ind w:left="850" w:hanging="493"/>
      <w:outlineLvl w:val="1"/>
    </w:pPr>
    <w:rPr>
      <w:rFonts w:eastAsiaTheme="majorEastAsia" w:cstheme="majorBidi"/>
      <w:b/>
      <w:sz w:val="28"/>
      <w:szCs w:val="26"/>
    </w:rPr>
  </w:style>
  <w:style w:type="paragraph" w:styleId="Titolo3">
    <w:name w:val="heading 3"/>
    <w:basedOn w:val="Normale"/>
    <w:next w:val="Normale"/>
    <w:link w:val="Titolo3Carattere"/>
    <w:uiPriority w:val="9"/>
    <w:unhideWhenUsed/>
    <w:qFormat/>
    <w:rsid w:val="00F263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D627A9"/>
    <w:pPr>
      <w:ind w:left="720"/>
      <w:contextualSpacing/>
    </w:pPr>
  </w:style>
  <w:style w:type="table" w:customStyle="1" w:styleId="Tabellagriglia4-colore61">
    <w:name w:val="Tabella griglia 4 - colore 61"/>
    <w:basedOn w:val="Tabellanormale"/>
    <w:uiPriority w:val="49"/>
    <w:rsid w:val="003B01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ella">
    <w:name w:val="Table Grid"/>
    <w:basedOn w:val="Tabellanormale"/>
    <w:uiPriority w:val="39"/>
    <w:rsid w:val="0007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61">
    <w:name w:val="Tabella griglia 5 scura - colore 61"/>
    <w:basedOn w:val="Tabellanormale"/>
    <w:uiPriority w:val="50"/>
    <w:rsid w:val="00071C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rmaleWeb">
    <w:name w:val="Normal (Web)"/>
    <w:basedOn w:val="Normale"/>
    <w:uiPriority w:val="99"/>
    <w:semiHidden/>
    <w:unhideWhenUsed/>
    <w:rsid w:val="00BA7B0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934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34A0"/>
  </w:style>
  <w:style w:type="paragraph" w:styleId="Pidipagina">
    <w:name w:val="footer"/>
    <w:basedOn w:val="Normale"/>
    <w:link w:val="PidipaginaCarattere"/>
    <w:uiPriority w:val="99"/>
    <w:unhideWhenUsed/>
    <w:rsid w:val="001934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34A0"/>
  </w:style>
  <w:style w:type="paragraph" w:styleId="Testofumetto">
    <w:name w:val="Balloon Text"/>
    <w:basedOn w:val="Normale"/>
    <w:link w:val="TestofumettoCarattere"/>
    <w:uiPriority w:val="99"/>
    <w:semiHidden/>
    <w:unhideWhenUsed/>
    <w:rsid w:val="003336C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36CB"/>
    <w:rPr>
      <w:rFonts w:ascii="Segoe UI" w:hAnsi="Segoe UI" w:cs="Segoe UI"/>
      <w:sz w:val="18"/>
      <w:szCs w:val="18"/>
    </w:rPr>
  </w:style>
  <w:style w:type="character" w:styleId="Enfasigrassetto">
    <w:name w:val="Strong"/>
    <w:basedOn w:val="Carpredefinitoparagrafo"/>
    <w:uiPriority w:val="22"/>
    <w:qFormat/>
    <w:rsid w:val="00663B56"/>
    <w:rPr>
      <w:b/>
      <w:bCs/>
    </w:rPr>
  </w:style>
  <w:style w:type="table" w:customStyle="1" w:styleId="Tabellagriglia2-colore11">
    <w:name w:val="Tabella griglia 2 - colore 11"/>
    <w:basedOn w:val="Tabellanormale"/>
    <w:uiPriority w:val="47"/>
    <w:rsid w:val="00380B6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stonotaapidipagina">
    <w:name w:val="footnote text"/>
    <w:aliases w:val="Testo nota a piè di pagina Carattere1 Carattere,Testo nota a piè di pagina Carattere Carattere Carattere,Testo nota a piè di pagina Carattere1 Carattere Carattere Carattere,Carattere,fn,Footnote Text Char"/>
    <w:basedOn w:val="Normale"/>
    <w:link w:val="TestonotaapidipaginaCarattere"/>
    <w:uiPriority w:val="99"/>
    <w:unhideWhenUsed/>
    <w:qFormat/>
    <w:rsid w:val="00390CDD"/>
    <w:pPr>
      <w:spacing w:after="0" w:line="240" w:lineRule="auto"/>
    </w:pPr>
    <w:rPr>
      <w:sz w:val="20"/>
      <w:szCs w:val="20"/>
    </w:rPr>
  </w:style>
  <w:style w:type="character" w:customStyle="1" w:styleId="TestonotaapidipaginaCarattere">
    <w:name w:val="Testo nota a piè di pagina Carattere"/>
    <w:aliases w:val="Testo nota a piè di pagina Carattere1 Carattere Carattere1,Testo nota a piè di pagina Carattere Carattere Carattere Carattere1,Testo nota a piè di pagina Carattere1 Carattere Carattere Carattere Carattere1"/>
    <w:basedOn w:val="Carpredefinitoparagrafo"/>
    <w:link w:val="Testonotaapidipagina"/>
    <w:uiPriority w:val="99"/>
    <w:rsid w:val="00390CDD"/>
    <w:rPr>
      <w:sz w:val="20"/>
      <w:szCs w:val="20"/>
    </w:rPr>
  </w:style>
  <w:style w:type="character" w:styleId="Rimandonotaapidipagina">
    <w:name w:val="footnote reference"/>
    <w:aliases w:val="Rimando nota a piè di pagina 2"/>
    <w:basedOn w:val="Carpredefinitoparagrafo"/>
    <w:uiPriority w:val="99"/>
    <w:unhideWhenUsed/>
    <w:rsid w:val="00390CDD"/>
    <w:rPr>
      <w:vertAlign w:val="superscript"/>
    </w:rPr>
  </w:style>
  <w:style w:type="table" w:customStyle="1" w:styleId="Tabellagriglia4-colore51">
    <w:name w:val="Tabella griglia 4 - colore 51"/>
    <w:basedOn w:val="Tabellanormale"/>
    <w:uiPriority w:val="49"/>
    <w:rsid w:val="00DD301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llegamentoipertestuale">
    <w:name w:val="Hyperlink"/>
    <w:basedOn w:val="Carpredefinitoparagrafo"/>
    <w:uiPriority w:val="99"/>
    <w:unhideWhenUsed/>
    <w:rsid w:val="005B0F7C"/>
    <w:rPr>
      <w:color w:val="0000FF"/>
      <w:u w:val="single"/>
    </w:rPr>
  </w:style>
  <w:style w:type="table" w:customStyle="1" w:styleId="Tabellagriglia4-colore11">
    <w:name w:val="Tabella griglia 4 - colore 11"/>
    <w:basedOn w:val="Tabellanormale"/>
    <w:uiPriority w:val="49"/>
    <w:rsid w:val="00E507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laelenco4-colore11">
    <w:name w:val="Tabella elenco 4 - colore 11"/>
    <w:basedOn w:val="Tabellanormale"/>
    <w:uiPriority w:val="49"/>
    <w:rsid w:val="00301EE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zionenonrisolta1">
    <w:name w:val="Menzione non risolta1"/>
    <w:basedOn w:val="Carpredefinitoparagrafo"/>
    <w:uiPriority w:val="99"/>
    <w:semiHidden/>
    <w:unhideWhenUsed/>
    <w:rsid w:val="00AC03B0"/>
    <w:rPr>
      <w:color w:val="808080"/>
      <w:shd w:val="clear" w:color="auto" w:fill="E6E6E6"/>
    </w:rPr>
  </w:style>
  <w:style w:type="paragraph" w:customStyle="1" w:styleId="Default">
    <w:name w:val="Default"/>
    <w:rsid w:val="00DC5D93"/>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1"/>
    <w:rsid w:val="00972BC1"/>
    <w:rPr>
      <w:rFonts w:eastAsiaTheme="majorEastAsia" w:cstheme="majorBidi"/>
      <w:b/>
      <w:sz w:val="32"/>
      <w:szCs w:val="32"/>
    </w:rPr>
  </w:style>
  <w:style w:type="character" w:customStyle="1" w:styleId="Titolo2Carattere">
    <w:name w:val="Titolo 2 Carattere"/>
    <w:basedOn w:val="Carpredefinitoparagrafo"/>
    <w:link w:val="Titolo2"/>
    <w:uiPriority w:val="1"/>
    <w:rsid w:val="00250FA9"/>
    <w:rPr>
      <w:rFonts w:eastAsiaTheme="majorEastAsia" w:cstheme="majorBidi"/>
      <w:b/>
      <w:sz w:val="28"/>
      <w:szCs w:val="26"/>
    </w:rPr>
  </w:style>
  <w:style w:type="paragraph" w:styleId="Sommario1">
    <w:name w:val="toc 1"/>
    <w:basedOn w:val="Normale"/>
    <w:next w:val="Normale"/>
    <w:autoRedefine/>
    <w:uiPriority w:val="39"/>
    <w:unhideWhenUsed/>
    <w:rsid w:val="004B4D31"/>
    <w:pPr>
      <w:tabs>
        <w:tab w:val="right" w:leader="dot" w:pos="9628"/>
      </w:tabs>
      <w:spacing w:before="240" w:after="100"/>
    </w:pPr>
    <w:rPr>
      <w:sz w:val="24"/>
    </w:rPr>
  </w:style>
  <w:style w:type="paragraph" w:styleId="Sommario2">
    <w:name w:val="toc 2"/>
    <w:basedOn w:val="Normale"/>
    <w:next w:val="Normale"/>
    <w:autoRedefine/>
    <w:uiPriority w:val="39"/>
    <w:unhideWhenUsed/>
    <w:rsid w:val="004B4D31"/>
    <w:pPr>
      <w:tabs>
        <w:tab w:val="left" w:pos="709"/>
        <w:tab w:val="right" w:leader="dot" w:pos="9628"/>
      </w:tabs>
      <w:spacing w:after="100"/>
      <w:ind w:left="220"/>
    </w:pPr>
  </w:style>
  <w:style w:type="table" w:customStyle="1" w:styleId="Grigliatabellachiara1">
    <w:name w:val="Griglia tabella chiara1"/>
    <w:basedOn w:val="Tabellanormale"/>
    <w:uiPriority w:val="40"/>
    <w:rsid w:val="00F52F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umeropagina">
    <w:name w:val="page number"/>
    <w:basedOn w:val="Carpredefinitoparagrafo"/>
    <w:uiPriority w:val="99"/>
    <w:unhideWhenUsed/>
    <w:rsid w:val="009E057D"/>
  </w:style>
  <w:style w:type="character" w:customStyle="1" w:styleId="Titolo3Carattere">
    <w:name w:val="Titolo 3 Carattere"/>
    <w:basedOn w:val="Carpredefinitoparagrafo"/>
    <w:link w:val="Titolo3"/>
    <w:uiPriority w:val="9"/>
    <w:rsid w:val="00F26314"/>
    <w:rPr>
      <w:rFonts w:asciiTheme="majorHAnsi" w:eastAsiaTheme="majorEastAsia" w:hAnsiTheme="majorHAnsi" w:cstheme="majorBidi"/>
      <w:color w:val="1F3763" w:themeColor="accent1" w:themeShade="7F"/>
      <w:sz w:val="24"/>
      <w:szCs w:val="24"/>
    </w:rPr>
  </w:style>
  <w:style w:type="paragraph" w:styleId="Sommario3">
    <w:name w:val="toc 3"/>
    <w:basedOn w:val="Normale"/>
    <w:next w:val="Normale"/>
    <w:autoRedefine/>
    <w:uiPriority w:val="39"/>
    <w:unhideWhenUsed/>
    <w:rsid w:val="00F26314"/>
    <w:pPr>
      <w:spacing w:after="100"/>
      <w:ind w:left="440"/>
    </w:pPr>
  </w:style>
  <w:style w:type="paragraph" w:styleId="Testonotadichiusura">
    <w:name w:val="endnote text"/>
    <w:basedOn w:val="Normale"/>
    <w:link w:val="TestonotadichiusuraCarattere"/>
    <w:uiPriority w:val="99"/>
    <w:semiHidden/>
    <w:unhideWhenUsed/>
    <w:rsid w:val="00F26314"/>
    <w:pPr>
      <w:spacing w:after="200" w:line="276" w:lineRule="auto"/>
    </w:pPr>
    <w:rPr>
      <w:rFonts w:ascii="Arial Narrow" w:eastAsia="Calibri" w:hAnsi="Arial Narrow" w:cs="Times New Roman"/>
      <w:sz w:val="20"/>
      <w:szCs w:val="20"/>
      <w:lang w:val="x-none"/>
    </w:rPr>
  </w:style>
  <w:style w:type="character" w:customStyle="1" w:styleId="TestonotadichiusuraCarattere">
    <w:name w:val="Testo nota di chiusura Carattere"/>
    <w:basedOn w:val="Carpredefinitoparagrafo"/>
    <w:link w:val="Testonotadichiusura"/>
    <w:uiPriority w:val="99"/>
    <w:semiHidden/>
    <w:rsid w:val="00F26314"/>
    <w:rPr>
      <w:rFonts w:ascii="Arial Narrow" w:eastAsia="Calibri" w:hAnsi="Arial Narrow" w:cs="Times New Roman"/>
      <w:sz w:val="20"/>
      <w:szCs w:val="20"/>
      <w:lang w:val="x-none"/>
    </w:rPr>
  </w:style>
  <w:style w:type="character" w:styleId="Rimandonotadichiusura">
    <w:name w:val="endnote reference"/>
    <w:uiPriority w:val="99"/>
    <w:semiHidden/>
    <w:unhideWhenUsed/>
    <w:rsid w:val="00F26314"/>
    <w:rPr>
      <w:vertAlign w:val="superscript"/>
    </w:rPr>
  </w:style>
  <w:style w:type="paragraph" w:styleId="Titolosommario">
    <w:name w:val="TOC Heading"/>
    <w:basedOn w:val="Titolo1"/>
    <w:next w:val="Normale"/>
    <w:uiPriority w:val="39"/>
    <w:unhideWhenUsed/>
    <w:qFormat/>
    <w:rsid w:val="00F26314"/>
    <w:pPr>
      <w:spacing w:before="240" w:after="0"/>
      <w:outlineLvl w:val="9"/>
    </w:pPr>
    <w:rPr>
      <w:rFonts w:ascii="Calibri Light" w:eastAsia="Times New Roman" w:hAnsi="Calibri Light" w:cs="Times New Roman"/>
      <w:b w:val="0"/>
      <w:color w:val="2E74B5"/>
      <w:lang w:val="x-none" w:eastAsia="it-IT"/>
    </w:rPr>
  </w:style>
  <w:style w:type="character" w:customStyle="1" w:styleId="TestonotaapidipaginaCarattere1">
    <w:name w:val="Testo nota a piè di pagina Carattere1"/>
    <w:aliases w:val="Testo nota a piè di pagina Carattere1 Carattere Carattere,Testo nota a piè di pagina Carattere Carattere Carattere Carattere,Testo nota a piè di pagina Carattere1 Carattere Carattere Carattere Carattere,fn Carattere"/>
    <w:semiHidden/>
    <w:rsid w:val="00F26314"/>
    <w:rPr>
      <w:rFonts w:ascii="Times New Roman" w:eastAsia="Times New Roman" w:hAnsi="Times New Roman"/>
      <w:lang w:val="x-none"/>
    </w:rPr>
  </w:style>
  <w:style w:type="character" w:styleId="Rimandocommento">
    <w:name w:val="annotation reference"/>
    <w:uiPriority w:val="99"/>
    <w:semiHidden/>
    <w:unhideWhenUsed/>
    <w:rsid w:val="00F26314"/>
    <w:rPr>
      <w:sz w:val="16"/>
      <w:szCs w:val="16"/>
    </w:rPr>
  </w:style>
  <w:style w:type="paragraph" w:styleId="Testocommento">
    <w:name w:val="annotation text"/>
    <w:basedOn w:val="Normale"/>
    <w:link w:val="TestocommentoCarattere"/>
    <w:uiPriority w:val="99"/>
    <w:semiHidden/>
    <w:unhideWhenUsed/>
    <w:rsid w:val="00F26314"/>
    <w:pPr>
      <w:spacing w:after="200" w:line="276" w:lineRule="auto"/>
    </w:pPr>
    <w:rPr>
      <w:rFonts w:ascii="Arial Narrow" w:eastAsia="Calibri" w:hAnsi="Arial Narrow" w:cs="Times New Roman"/>
      <w:sz w:val="20"/>
      <w:szCs w:val="20"/>
      <w:lang w:val="x-none"/>
    </w:rPr>
  </w:style>
  <w:style w:type="character" w:customStyle="1" w:styleId="TestocommentoCarattere">
    <w:name w:val="Testo commento Carattere"/>
    <w:basedOn w:val="Carpredefinitoparagrafo"/>
    <w:link w:val="Testocommento"/>
    <w:uiPriority w:val="99"/>
    <w:semiHidden/>
    <w:rsid w:val="00F26314"/>
    <w:rPr>
      <w:rFonts w:ascii="Arial Narrow" w:eastAsia="Calibri" w:hAnsi="Arial Narrow" w:cs="Times New Roman"/>
      <w:sz w:val="20"/>
      <w:szCs w:val="20"/>
      <w:lang w:val="x-none"/>
    </w:rPr>
  </w:style>
  <w:style w:type="paragraph" w:styleId="Soggettocommento">
    <w:name w:val="annotation subject"/>
    <w:basedOn w:val="Testocommento"/>
    <w:next w:val="Testocommento"/>
    <w:link w:val="SoggettocommentoCarattere"/>
    <w:uiPriority w:val="99"/>
    <w:semiHidden/>
    <w:unhideWhenUsed/>
    <w:rsid w:val="00F26314"/>
    <w:rPr>
      <w:b/>
      <w:bCs/>
    </w:rPr>
  </w:style>
  <w:style w:type="character" w:customStyle="1" w:styleId="SoggettocommentoCarattere">
    <w:name w:val="Soggetto commento Carattere"/>
    <w:basedOn w:val="TestocommentoCarattere"/>
    <w:link w:val="Soggettocommento"/>
    <w:uiPriority w:val="99"/>
    <w:semiHidden/>
    <w:rsid w:val="00F26314"/>
    <w:rPr>
      <w:rFonts w:ascii="Arial Narrow" w:eastAsia="Calibri" w:hAnsi="Arial Narrow" w:cs="Times New Roman"/>
      <w:b/>
      <w:bCs/>
      <w:sz w:val="20"/>
      <w:szCs w:val="20"/>
      <w:lang w:val="x-none"/>
    </w:rPr>
  </w:style>
  <w:style w:type="table" w:customStyle="1" w:styleId="Grigliatabella1">
    <w:name w:val="Griglia tabella1"/>
    <w:basedOn w:val="Tabellanormale"/>
    <w:next w:val="Grigliatabella"/>
    <w:uiPriority w:val="39"/>
    <w:rsid w:val="00F263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
    <w:name w:val="Nessun elenco1"/>
    <w:next w:val="Nessunelenco"/>
    <w:uiPriority w:val="99"/>
    <w:semiHidden/>
    <w:unhideWhenUsed/>
    <w:rsid w:val="004D0CF0"/>
  </w:style>
  <w:style w:type="paragraph" w:customStyle="1" w:styleId="Bollo">
    <w:name w:val="Bollo"/>
    <w:basedOn w:val="Normale"/>
    <w:link w:val="BolloCarattere"/>
    <w:rsid w:val="004D0CF0"/>
    <w:pPr>
      <w:widowControl w:val="0"/>
      <w:tabs>
        <w:tab w:val="left" w:pos="709"/>
        <w:tab w:val="left" w:pos="1418"/>
        <w:tab w:val="left" w:pos="2126"/>
        <w:tab w:val="decimal" w:pos="7371"/>
      </w:tabs>
      <w:overflowPunct w:val="0"/>
      <w:autoSpaceDE w:val="0"/>
      <w:autoSpaceDN w:val="0"/>
      <w:adjustRightInd w:val="0"/>
      <w:spacing w:after="0" w:line="480" w:lineRule="exact"/>
      <w:jc w:val="both"/>
      <w:textAlignment w:val="baseline"/>
    </w:pPr>
    <w:rPr>
      <w:rFonts w:ascii="Garamond" w:eastAsia="Times New Roman" w:hAnsi="Garamond" w:cs="Times New Roman"/>
      <w:spacing w:val="10"/>
      <w:sz w:val="24"/>
      <w:szCs w:val="20"/>
      <w:lang w:eastAsia="it-IT"/>
    </w:rPr>
  </w:style>
  <w:style w:type="character" w:customStyle="1" w:styleId="BolloCarattere">
    <w:name w:val="Bollo Carattere"/>
    <w:link w:val="Bollo"/>
    <w:rsid w:val="004D0CF0"/>
    <w:rPr>
      <w:rFonts w:ascii="Garamond" w:eastAsia="Times New Roman" w:hAnsi="Garamond" w:cs="Times New Roman"/>
      <w:spacing w:val="10"/>
      <w:sz w:val="24"/>
      <w:szCs w:val="20"/>
      <w:lang w:eastAsia="it-IT"/>
    </w:rPr>
  </w:style>
  <w:style w:type="table" w:customStyle="1" w:styleId="Grigliatabella2">
    <w:name w:val="Griglia tabella2"/>
    <w:basedOn w:val="Tabellanormale"/>
    <w:next w:val="Grigliatabella"/>
    <w:uiPriority w:val="39"/>
    <w:rsid w:val="004D0CF0"/>
    <w:pPr>
      <w:spacing w:after="0" w:line="240" w:lineRule="auto"/>
    </w:pPr>
    <w:rPr>
      <w:rFonts w:ascii="Arial" w:eastAsia="Times New Roman" w:hAnsi="Arial" w:cs="Arial"/>
      <w:sz w:val="16"/>
      <w:szCs w:val="16"/>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1">
    <w:name w:val="Revisione1"/>
    <w:next w:val="Revisione"/>
    <w:hidden/>
    <w:uiPriority w:val="99"/>
    <w:semiHidden/>
    <w:rsid w:val="004D0CF0"/>
    <w:pPr>
      <w:spacing w:after="0" w:line="240" w:lineRule="auto"/>
    </w:pPr>
    <w:rPr>
      <w:rFonts w:eastAsia="MS Mincho"/>
      <w:sz w:val="24"/>
      <w:szCs w:val="24"/>
      <w:lang w:eastAsia="it-IT"/>
    </w:rPr>
  </w:style>
  <w:style w:type="paragraph" w:styleId="Titolo">
    <w:name w:val="Title"/>
    <w:basedOn w:val="Normale"/>
    <w:link w:val="TitoloCarattere"/>
    <w:qFormat/>
    <w:rsid w:val="004D0CF0"/>
    <w:pPr>
      <w:widowControl w:val="0"/>
      <w:overflowPunct w:val="0"/>
      <w:autoSpaceDE w:val="0"/>
      <w:autoSpaceDN w:val="0"/>
      <w:adjustRightInd w:val="0"/>
      <w:spacing w:after="240" w:line="240" w:lineRule="auto"/>
      <w:jc w:val="center"/>
      <w:textAlignment w:val="baseline"/>
    </w:pPr>
    <w:rPr>
      <w:rFonts w:ascii="Arial" w:eastAsia="Times New Roman" w:hAnsi="Arial" w:cs="Times New Roman"/>
      <w:b/>
      <w:smallCaps/>
      <w:sz w:val="44"/>
      <w:szCs w:val="20"/>
      <w:lang w:eastAsia="it-IT"/>
    </w:rPr>
  </w:style>
  <w:style w:type="character" w:customStyle="1" w:styleId="TitoloCarattere">
    <w:name w:val="Titolo Carattere"/>
    <w:basedOn w:val="Carpredefinitoparagrafo"/>
    <w:link w:val="Titolo"/>
    <w:rsid w:val="004D0CF0"/>
    <w:rPr>
      <w:rFonts w:ascii="Arial" w:eastAsia="Times New Roman" w:hAnsi="Arial" w:cs="Times New Roman"/>
      <w:b/>
      <w:smallCaps/>
      <w:sz w:val="44"/>
      <w:szCs w:val="20"/>
      <w:lang w:eastAsia="it-IT"/>
    </w:rPr>
  </w:style>
  <w:style w:type="paragraph" w:customStyle="1" w:styleId="cpv">
    <w:name w:val="cpv"/>
    <w:uiPriority w:val="99"/>
    <w:rsid w:val="004D0CF0"/>
    <w:pPr>
      <w:widowControl w:val="0"/>
      <w:tabs>
        <w:tab w:val="left" w:pos="0"/>
        <w:tab w:val="left" w:pos="1418"/>
        <w:tab w:val="left" w:pos="2835"/>
        <w:tab w:val="left" w:pos="4252"/>
      </w:tabs>
      <w:autoSpaceDE w:val="0"/>
      <w:autoSpaceDN w:val="0"/>
      <w:adjustRightInd w:val="0"/>
      <w:spacing w:before="175" w:after="0" w:line="25" w:lineRule="atLeast"/>
      <w:jc w:val="both"/>
    </w:pPr>
    <w:rPr>
      <w:rFonts w:ascii="ItcCenturyLight" w:eastAsia="Times New Roman" w:hAnsi="ItcCenturyLight" w:cs="ItcCenturyLight"/>
      <w:sz w:val="20"/>
      <w:szCs w:val="20"/>
      <w:lang w:eastAsia="it-IT"/>
    </w:rPr>
  </w:style>
  <w:style w:type="table" w:customStyle="1" w:styleId="TableNormal">
    <w:name w:val="Table Normal"/>
    <w:uiPriority w:val="2"/>
    <w:semiHidden/>
    <w:unhideWhenUsed/>
    <w:qFormat/>
    <w:rsid w:val="004D0CF0"/>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D0CF0"/>
    <w:pPr>
      <w:widowControl w:val="0"/>
      <w:spacing w:after="0" w:line="240" w:lineRule="auto"/>
    </w:pPr>
    <w:rPr>
      <w:lang w:val="en-US"/>
    </w:rPr>
  </w:style>
  <w:style w:type="paragraph" w:customStyle="1" w:styleId="Corpotesto1">
    <w:name w:val="Corpo testo1"/>
    <w:basedOn w:val="Normale"/>
    <w:next w:val="Corpotesto"/>
    <w:link w:val="CorpotestoCarattere"/>
    <w:uiPriority w:val="1"/>
    <w:qFormat/>
    <w:rsid w:val="004D0CF0"/>
    <w:pPr>
      <w:widowControl w:val="0"/>
      <w:spacing w:before="115" w:after="0" w:line="240" w:lineRule="auto"/>
      <w:ind w:left="138"/>
    </w:pPr>
    <w:rPr>
      <w:rFonts w:ascii="Arial" w:eastAsia="Arial" w:hAnsi="Arial"/>
      <w:sz w:val="20"/>
      <w:szCs w:val="20"/>
      <w:lang w:val="en-US"/>
    </w:rPr>
  </w:style>
  <w:style w:type="character" w:customStyle="1" w:styleId="CorpotestoCarattere">
    <w:name w:val="Corpo testo Carattere"/>
    <w:basedOn w:val="Carpredefinitoparagrafo"/>
    <w:link w:val="Corpotesto1"/>
    <w:uiPriority w:val="1"/>
    <w:rsid w:val="004D0CF0"/>
    <w:rPr>
      <w:rFonts w:ascii="Arial" w:eastAsia="Arial" w:hAnsi="Arial"/>
      <w:sz w:val="20"/>
      <w:szCs w:val="20"/>
      <w:lang w:val="en-US" w:eastAsia="en-US"/>
    </w:rPr>
  </w:style>
  <w:style w:type="numbering" w:customStyle="1" w:styleId="Nessunelenco11">
    <w:name w:val="Nessun elenco11"/>
    <w:next w:val="Nessunelenco"/>
    <w:uiPriority w:val="99"/>
    <w:semiHidden/>
    <w:unhideWhenUsed/>
    <w:rsid w:val="004D0CF0"/>
  </w:style>
  <w:style w:type="table" w:customStyle="1" w:styleId="TableNormal1">
    <w:name w:val="Table Normal1"/>
    <w:uiPriority w:val="2"/>
    <w:semiHidden/>
    <w:unhideWhenUsed/>
    <w:qFormat/>
    <w:rsid w:val="004D0CF0"/>
    <w:pPr>
      <w:widowControl w:val="0"/>
      <w:spacing w:after="0" w:line="240" w:lineRule="auto"/>
    </w:pPr>
    <w:rPr>
      <w:rFonts w:eastAsia="Calibri"/>
      <w:lang w:val="en-US"/>
    </w:rPr>
    <w:tblPr>
      <w:tblInd w:w="0" w:type="dxa"/>
      <w:tblCellMar>
        <w:top w:w="0" w:type="dxa"/>
        <w:left w:w="0" w:type="dxa"/>
        <w:bottom w:w="0" w:type="dxa"/>
        <w:right w:w="0" w:type="dxa"/>
      </w:tblCellMar>
    </w:tblPr>
  </w:style>
  <w:style w:type="paragraph" w:styleId="Revisione">
    <w:name w:val="Revision"/>
    <w:hidden/>
    <w:uiPriority w:val="99"/>
    <w:semiHidden/>
    <w:rsid w:val="004D0CF0"/>
    <w:pPr>
      <w:spacing w:after="0" w:line="240" w:lineRule="auto"/>
    </w:pPr>
  </w:style>
  <w:style w:type="paragraph" w:styleId="Corpotesto">
    <w:name w:val="Body Text"/>
    <w:basedOn w:val="Normale"/>
    <w:link w:val="CorpotestoCarattere1"/>
    <w:uiPriority w:val="99"/>
    <w:semiHidden/>
    <w:unhideWhenUsed/>
    <w:rsid w:val="004D0CF0"/>
    <w:pPr>
      <w:spacing w:after="120"/>
    </w:pPr>
  </w:style>
  <w:style w:type="character" w:customStyle="1" w:styleId="CorpotestoCarattere1">
    <w:name w:val="Corpo testo Carattere1"/>
    <w:basedOn w:val="Carpredefinitoparagrafo"/>
    <w:link w:val="Corpotesto"/>
    <w:uiPriority w:val="99"/>
    <w:semiHidden/>
    <w:rsid w:val="004D0CF0"/>
  </w:style>
  <w:style w:type="paragraph" w:customStyle="1" w:styleId="Tabella">
    <w:name w:val="Tabella"/>
    <w:basedOn w:val="Normale"/>
    <w:rsid w:val="00DC666C"/>
    <w:pPr>
      <w:spacing w:before="40" w:after="40" w:line="240" w:lineRule="auto"/>
      <w:jc w:val="both"/>
    </w:pPr>
    <w:rPr>
      <w:rFonts w:ascii="Arial" w:eastAsia="Times New Roman" w:hAnsi="Arial" w:cs="Times New Roman"/>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3656">
      <w:bodyDiv w:val="1"/>
      <w:marLeft w:val="0"/>
      <w:marRight w:val="0"/>
      <w:marTop w:val="0"/>
      <w:marBottom w:val="0"/>
      <w:divBdr>
        <w:top w:val="none" w:sz="0" w:space="0" w:color="auto"/>
        <w:left w:val="none" w:sz="0" w:space="0" w:color="auto"/>
        <w:bottom w:val="none" w:sz="0" w:space="0" w:color="auto"/>
        <w:right w:val="none" w:sz="0" w:space="0" w:color="auto"/>
      </w:divBdr>
    </w:div>
    <w:div w:id="88739956">
      <w:bodyDiv w:val="1"/>
      <w:marLeft w:val="0"/>
      <w:marRight w:val="0"/>
      <w:marTop w:val="0"/>
      <w:marBottom w:val="0"/>
      <w:divBdr>
        <w:top w:val="none" w:sz="0" w:space="0" w:color="auto"/>
        <w:left w:val="none" w:sz="0" w:space="0" w:color="auto"/>
        <w:bottom w:val="none" w:sz="0" w:space="0" w:color="auto"/>
        <w:right w:val="none" w:sz="0" w:space="0" w:color="auto"/>
      </w:divBdr>
    </w:div>
    <w:div w:id="93138936">
      <w:bodyDiv w:val="1"/>
      <w:marLeft w:val="0"/>
      <w:marRight w:val="0"/>
      <w:marTop w:val="0"/>
      <w:marBottom w:val="0"/>
      <w:divBdr>
        <w:top w:val="none" w:sz="0" w:space="0" w:color="auto"/>
        <w:left w:val="none" w:sz="0" w:space="0" w:color="auto"/>
        <w:bottom w:val="none" w:sz="0" w:space="0" w:color="auto"/>
        <w:right w:val="none" w:sz="0" w:space="0" w:color="auto"/>
      </w:divBdr>
    </w:div>
    <w:div w:id="162745339">
      <w:bodyDiv w:val="1"/>
      <w:marLeft w:val="0"/>
      <w:marRight w:val="0"/>
      <w:marTop w:val="0"/>
      <w:marBottom w:val="0"/>
      <w:divBdr>
        <w:top w:val="none" w:sz="0" w:space="0" w:color="auto"/>
        <w:left w:val="none" w:sz="0" w:space="0" w:color="auto"/>
        <w:bottom w:val="none" w:sz="0" w:space="0" w:color="auto"/>
        <w:right w:val="none" w:sz="0" w:space="0" w:color="auto"/>
      </w:divBdr>
    </w:div>
    <w:div w:id="238447566">
      <w:bodyDiv w:val="1"/>
      <w:marLeft w:val="0"/>
      <w:marRight w:val="0"/>
      <w:marTop w:val="0"/>
      <w:marBottom w:val="0"/>
      <w:divBdr>
        <w:top w:val="none" w:sz="0" w:space="0" w:color="auto"/>
        <w:left w:val="none" w:sz="0" w:space="0" w:color="auto"/>
        <w:bottom w:val="none" w:sz="0" w:space="0" w:color="auto"/>
        <w:right w:val="none" w:sz="0" w:space="0" w:color="auto"/>
      </w:divBdr>
    </w:div>
    <w:div w:id="240650038">
      <w:bodyDiv w:val="1"/>
      <w:marLeft w:val="0"/>
      <w:marRight w:val="0"/>
      <w:marTop w:val="0"/>
      <w:marBottom w:val="0"/>
      <w:divBdr>
        <w:top w:val="none" w:sz="0" w:space="0" w:color="auto"/>
        <w:left w:val="none" w:sz="0" w:space="0" w:color="auto"/>
        <w:bottom w:val="none" w:sz="0" w:space="0" w:color="auto"/>
        <w:right w:val="none" w:sz="0" w:space="0" w:color="auto"/>
      </w:divBdr>
    </w:div>
    <w:div w:id="277179250">
      <w:bodyDiv w:val="1"/>
      <w:marLeft w:val="0"/>
      <w:marRight w:val="0"/>
      <w:marTop w:val="0"/>
      <w:marBottom w:val="0"/>
      <w:divBdr>
        <w:top w:val="none" w:sz="0" w:space="0" w:color="auto"/>
        <w:left w:val="none" w:sz="0" w:space="0" w:color="auto"/>
        <w:bottom w:val="none" w:sz="0" w:space="0" w:color="auto"/>
        <w:right w:val="none" w:sz="0" w:space="0" w:color="auto"/>
      </w:divBdr>
    </w:div>
    <w:div w:id="285352541">
      <w:bodyDiv w:val="1"/>
      <w:marLeft w:val="0"/>
      <w:marRight w:val="0"/>
      <w:marTop w:val="0"/>
      <w:marBottom w:val="0"/>
      <w:divBdr>
        <w:top w:val="none" w:sz="0" w:space="0" w:color="auto"/>
        <w:left w:val="none" w:sz="0" w:space="0" w:color="auto"/>
        <w:bottom w:val="none" w:sz="0" w:space="0" w:color="auto"/>
        <w:right w:val="none" w:sz="0" w:space="0" w:color="auto"/>
      </w:divBdr>
    </w:div>
    <w:div w:id="290673649">
      <w:bodyDiv w:val="1"/>
      <w:marLeft w:val="0"/>
      <w:marRight w:val="0"/>
      <w:marTop w:val="0"/>
      <w:marBottom w:val="0"/>
      <w:divBdr>
        <w:top w:val="none" w:sz="0" w:space="0" w:color="auto"/>
        <w:left w:val="none" w:sz="0" w:space="0" w:color="auto"/>
        <w:bottom w:val="none" w:sz="0" w:space="0" w:color="auto"/>
        <w:right w:val="none" w:sz="0" w:space="0" w:color="auto"/>
      </w:divBdr>
    </w:div>
    <w:div w:id="299191166">
      <w:bodyDiv w:val="1"/>
      <w:marLeft w:val="0"/>
      <w:marRight w:val="0"/>
      <w:marTop w:val="0"/>
      <w:marBottom w:val="0"/>
      <w:divBdr>
        <w:top w:val="none" w:sz="0" w:space="0" w:color="auto"/>
        <w:left w:val="none" w:sz="0" w:space="0" w:color="auto"/>
        <w:bottom w:val="none" w:sz="0" w:space="0" w:color="auto"/>
        <w:right w:val="none" w:sz="0" w:space="0" w:color="auto"/>
      </w:divBdr>
    </w:div>
    <w:div w:id="344404503">
      <w:bodyDiv w:val="1"/>
      <w:marLeft w:val="0"/>
      <w:marRight w:val="0"/>
      <w:marTop w:val="0"/>
      <w:marBottom w:val="0"/>
      <w:divBdr>
        <w:top w:val="none" w:sz="0" w:space="0" w:color="auto"/>
        <w:left w:val="none" w:sz="0" w:space="0" w:color="auto"/>
        <w:bottom w:val="none" w:sz="0" w:space="0" w:color="auto"/>
        <w:right w:val="none" w:sz="0" w:space="0" w:color="auto"/>
      </w:divBdr>
    </w:div>
    <w:div w:id="391466795">
      <w:bodyDiv w:val="1"/>
      <w:marLeft w:val="0"/>
      <w:marRight w:val="0"/>
      <w:marTop w:val="0"/>
      <w:marBottom w:val="0"/>
      <w:divBdr>
        <w:top w:val="none" w:sz="0" w:space="0" w:color="auto"/>
        <w:left w:val="none" w:sz="0" w:space="0" w:color="auto"/>
        <w:bottom w:val="none" w:sz="0" w:space="0" w:color="auto"/>
        <w:right w:val="none" w:sz="0" w:space="0" w:color="auto"/>
      </w:divBdr>
    </w:div>
    <w:div w:id="398132996">
      <w:bodyDiv w:val="1"/>
      <w:marLeft w:val="0"/>
      <w:marRight w:val="0"/>
      <w:marTop w:val="0"/>
      <w:marBottom w:val="0"/>
      <w:divBdr>
        <w:top w:val="none" w:sz="0" w:space="0" w:color="auto"/>
        <w:left w:val="none" w:sz="0" w:space="0" w:color="auto"/>
        <w:bottom w:val="none" w:sz="0" w:space="0" w:color="auto"/>
        <w:right w:val="none" w:sz="0" w:space="0" w:color="auto"/>
      </w:divBdr>
    </w:div>
    <w:div w:id="448010179">
      <w:bodyDiv w:val="1"/>
      <w:marLeft w:val="0"/>
      <w:marRight w:val="0"/>
      <w:marTop w:val="0"/>
      <w:marBottom w:val="0"/>
      <w:divBdr>
        <w:top w:val="none" w:sz="0" w:space="0" w:color="auto"/>
        <w:left w:val="none" w:sz="0" w:space="0" w:color="auto"/>
        <w:bottom w:val="none" w:sz="0" w:space="0" w:color="auto"/>
        <w:right w:val="none" w:sz="0" w:space="0" w:color="auto"/>
      </w:divBdr>
    </w:div>
    <w:div w:id="468863667">
      <w:bodyDiv w:val="1"/>
      <w:marLeft w:val="0"/>
      <w:marRight w:val="0"/>
      <w:marTop w:val="0"/>
      <w:marBottom w:val="0"/>
      <w:divBdr>
        <w:top w:val="none" w:sz="0" w:space="0" w:color="auto"/>
        <w:left w:val="none" w:sz="0" w:space="0" w:color="auto"/>
        <w:bottom w:val="none" w:sz="0" w:space="0" w:color="auto"/>
        <w:right w:val="none" w:sz="0" w:space="0" w:color="auto"/>
      </w:divBdr>
    </w:div>
    <w:div w:id="497235335">
      <w:bodyDiv w:val="1"/>
      <w:marLeft w:val="0"/>
      <w:marRight w:val="0"/>
      <w:marTop w:val="0"/>
      <w:marBottom w:val="0"/>
      <w:divBdr>
        <w:top w:val="none" w:sz="0" w:space="0" w:color="auto"/>
        <w:left w:val="none" w:sz="0" w:space="0" w:color="auto"/>
        <w:bottom w:val="none" w:sz="0" w:space="0" w:color="auto"/>
        <w:right w:val="none" w:sz="0" w:space="0" w:color="auto"/>
      </w:divBdr>
    </w:div>
    <w:div w:id="560749274">
      <w:bodyDiv w:val="1"/>
      <w:marLeft w:val="0"/>
      <w:marRight w:val="0"/>
      <w:marTop w:val="0"/>
      <w:marBottom w:val="0"/>
      <w:divBdr>
        <w:top w:val="none" w:sz="0" w:space="0" w:color="auto"/>
        <w:left w:val="none" w:sz="0" w:space="0" w:color="auto"/>
        <w:bottom w:val="none" w:sz="0" w:space="0" w:color="auto"/>
        <w:right w:val="none" w:sz="0" w:space="0" w:color="auto"/>
      </w:divBdr>
    </w:div>
    <w:div w:id="570850348">
      <w:bodyDiv w:val="1"/>
      <w:marLeft w:val="0"/>
      <w:marRight w:val="0"/>
      <w:marTop w:val="0"/>
      <w:marBottom w:val="0"/>
      <w:divBdr>
        <w:top w:val="none" w:sz="0" w:space="0" w:color="auto"/>
        <w:left w:val="none" w:sz="0" w:space="0" w:color="auto"/>
        <w:bottom w:val="none" w:sz="0" w:space="0" w:color="auto"/>
        <w:right w:val="none" w:sz="0" w:space="0" w:color="auto"/>
      </w:divBdr>
    </w:div>
    <w:div w:id="625045378">
      <w:bodyDiv w:val="1"/>
      <w:marLeft w:val="0"/>
      <w:marRight w:val="0"/>
      <w:marTop w:val="0"/>
      <w:marBottom w:val="0"/>
      <w:divBdr>
        <w:top w:val="none" w:sz="0" w:space="0" w:color="auto"/>
        <w:left w:val="none" w:sz="0" w:space="0" w:color="auto"/>
        <w:bottom w:val="none" w:sz="0" w:space="0" w:color="auto"/>
        <w:right w:val="none" w:sz="0" w:space="0" w:color="auto"/>
      </w:divBdr>
    </w:div>
    <w:div w:id="670451168">
      <w:bodyDiv w:val="1"/>
      <w:marLeft w:val="0"/>
      <w:marRight w:val="0"/>
      <w:marTop w:val="0"/>
      <w:marBottom w:val="0"/>
      <w:divBdr>
        <w:top w:val="none" w:sz="0" w:space="0" w:color="auto"/>
        <w:left w:val="none" w:sz="0" w:space="0" w:color="auto"/>
        <w:bottom w:val="none" w:sz="0" w:space="0" w:color="auto"/>
        <w:right w:val="none" w:sz="0" w:space="0" w:color="auto"/>
      </w:divBdr>
    </w:div>
    <w:div w:id="680668327">
      <w:bodyDiv w:val="1"/>
      <w:marLeft w:val="0"/>
      <w:marRight w:val="0"/>
      <w:marTop w:val="0"/>
      <w:marBottom w:val="0"/>
      <w:divBdr>
        <w:top w:val="none" w:sz="0" w:space="0" w:color="auto"/>
        <w:left w:val="none" w:sz="0" w:space="0" w:color="auto"/>
        <w:bottom w:val="none" w:sz="0" w:space="0" w:color="auto"/>
        <w:right w:val="none" w:sz="0" w:space="0" w:color="auto"/>
      </w:divBdr>
    </w:div>
    <w:div w:id="701906839">
      <w:bodyDiv w:val="1"/>
      <w:marLeft w:val="0"/>
      <w:marRight w:val="0"/>
      <w:marTop w:val="0"/>
      <w:marBottom w:val="0"/>
      <w:divBdr>
        <w:top w:val="none" w:sz="0" w:space="0" w:color="auto"/>
        <w:left w:val="none" w:sz="0" w:space="0" w:color="auto"/>
        <w:bottom w:val="none" w:sz="0" w:space="0" w:color="auto"/>
        <w:right w:val="none" w:sz="0" w:space="0" w:color="auto"/>
      </w:divBdr>
    </w:div>
    <w:div w:id="707493014">
      <w:bodyDiv w:val="1"/>
      <w:marLeft w:val="0"/>
      <w:marRight w:val="0"/>
      <w:marTop w:val="0"/>
      <w:marBottom w:val="0"/>
      <w:divBdr>
        <w:top w:val="none" w:sz="0" w:space="0" w:color="auto"/>
        <w:left w:val="none" w:sz="0" w:space="0" w:color="auto"/>
        <w:bottom w:val="none" w:sz="0" w:space="0" w:color="auto"/>
        <w:right w:val="none" w:sz="0" w:space="0" w:color="auto"/>
      </w:divBdr>
    </w:div>
    <w:div w:id="719672558">
      <w:bodyDiv w:val="1"/>
      <w:marLeft w:val="0"/>
      <w:marRight w:val="0"/>
      <w:marTop w:val="0"/>
      <w:marBottom w:val="0"/>
      <w:divBdr>
        <w:top w:val="none" w:sz="0" w:space="0" w:color="auto"/>
        <w:left w:val="none" w:sz="0" w:space="0" w:color="auto"/>
        <w:bottom w:val="none" w:sz="0" w:space="0" w:color="auto"/>
        <w:right w:val="none" w:sz="0" w:space="0" w:color="auto"/>
      </w:divBdr>
    </w:div>
    <w:div w:id="758139145">
      <w:bodyDiv w:val="1"/>
      <w:marLeft w:val="0"/>
      <w:marRight w:val="0"/>
      <w:marTop w:val="0"/>
      <w:marBottom w:val="0"/>
      <w:divBdr>
        <w:top w:val="none" w:sz="0" w:space="0" w:color="auto"/>
        <w:left w:val="none" w:sz="0" w:space="0" w:color="auto"/>
        <w:bottom w:val="none" w:sz="0" w:space="0" w:color="auto"/>
        <w:right w:val="none" w:sz="0" w:space="0" w:color="auto"/>
      </w:divBdr>
    </w:div>
    <w:div w:id="786237326">
      <w:bodyDiv w:val="1"/>
      <w:marLeft w:val="0"/>
      <w:marRight w:val="0"/>
      <w:marTop w:val="0"/>
      <w:marBottom w:val="0"/>
      <w:divBdr>
        <w:top w:val="none" w:sz="0" w:space="0" w:color="auto"/>
        <w:left w:val="none" w:sz="0" w:space="0" w:color="auto"/>
        <w:bottom w:val="none" w:sz="0" w:space="0" w:color="auto"/>
        <w:right w:val="none" w:sz="0" w:space="0" w:color="auto"/>
      </w:divBdr>
    </w:div>
    <w:div w:id="787970918">
      <w:bodyDiv w:val="1"/>
      <w:marLeft w:val="0"/>
      <w:marRight w:val="0"/>
      <w:marTop w:val="0"/>
      <w:marBottom w:val="0"/>
      <w:divBdr>
        <w:top w:val="none" w:sz="0" w:space="0" w:color="auto"/>
        <w:left w:val="none" w:sz="0" w:space="0" w:color="auto"/>
        <w:bottom w:val="none" w:sz="0" w:space="0" w:color="auto"/>
        <w:right w:val="none" w:sz="0" w:space="0" w:color="auto"/>
      </w:divBdr>
    </w:div>
    <w:div w:id="788161054">
      <w:bodyDiv w:val="1"/>
      <w:marLeft w:val="0"/>
      <w:marRight w:val="0"/>
      <w:marTop w:val="0"/>
      <w:marBottom w:val="0"/>
      <w:divBdr>
        <w:top w:val="none" w:sz="0" w:space="0" w:color="auto"/>
        <w:left w:val="none" w:sz="0" w:space="0" w:color="auto"/>
        <w:bottom w:val="none" w:sz="0" w:space="0" w:color="auto"/>
        <w:right w:val="none" w:sz="0" w:space="0" w:color="auto"/>
      </w:divBdr>
    </w:div>
    <w:div w:id="810488462">
      <w:bodyDiv w:val="1"/>
      <w:marLeft w:val="0"/>
      <w:marRight w:val="0"/>
      <w:marTop w:val="0"/>
      <w:marBottom w:val="0"/>
      <w:divBdr>
        <w:top w:val="none" w:sz="0" w:space="0" w:color="auto"/>
        <w:left w:val="none" w:sz="0" w:space="0" w:color="auto"/>
        <w:bottom w:val="none" w:sz="0" w:space="0" w:color="auto"/>
        <w:right w:val="none" w:sz="0" w:space="0" w:color="auto"/>
      </w:divBdr>
    </w:div>
    <w:div w:id="815604748">
      <w:bodyDiv w:val="1"/>
      <w:marLeft w:val="0"/>
      <w:marRight w:val="0"/>
      <w:marTop w:val="0"/>
      <w:marBottom w:val="0"/>
      <w:divBdr>
        <w:top w:val="none" w:sz="0" w:space="0" w:color="auto"/>
        <w:left w:val="none" w:sz="0" w:space="0" w:color="auto"/>
        <w:bottom w:val="none" w:sz="0" w:space="0" w:color="auto"/>
        <w:right w:val="none" w:sz="0" w:space="0" w:color="auto"/>
      </w:divBdr>
    </w:div>
    <w:div w:id="892349537">
      <w:bodyDiv w:val="1"/>
      <w:marLeft w:val="0"/>
      <w:marRight w:val="0"/>
      <w:marTop w:val="0"/>
      <w:marBottom w:val="0"/>
      <w:divBdr>
        <w:top w:val="none" w:sz="0" w:space="0" w:color="auto"/>
        <w:left w:val="none" w:sz="0" w:space="0" w:color="auto"/>
        <w:bottom w:val="none" w:sz="0" w:space="0" w:color="auto"/>
        <w:right w:val="none" w:sz="0" w:space="0" w:color="auto"/>
      </w:divBdr>
    </w:div>
    <w:div w:id="937517060">
      <w:bodyDiv w:val="1"/>
      <w:marLeft w:val="0"/>
      <w:marRight w:val="0"/>
      <w:marTop w:val="0"/>
      <w:marBottom w:val="0"/>
      <w:divBdr>
        <w:top w:val="none" w:sz="0" w:space="0" w:color="auto"/>
        <w:left w:val="none" w:sz="0" w:space="0" w:color="auto"/>
        <w:bottom w:val="none" w:sz="0" w:space="0" w:color="auto"/>
        <w:right w:val="none" w:sz="0" w:space="0" w:color="auto"/>
      </w:divBdr>
    </w:div>
    <w:div w:id="965042187">
      <w:bodyDiv w:val="1"/>
      <w:marLeft w:val="0"/>
      <w:marRight w:val="0"/>
      <w:marTop w:val="0"/>
      <w:marBottom w:val="0"/>
      <w:divBdr>
        <w:top w:val="none" w:sz="0" w:space="0" w:color="auto"/>
        <w:left w:val="none" w:sz="0" w:space="0" w:color="auto"/>
        <w:bottom w:val="none" w:sz="0" w:space="0" w:color="auto"/>
        <w:right w:val="none" w:sz="0" w:space="0" w:color="auto"/>
      </w:divBdr>
    </w:div>
    <w:div w:id="997883256">
      <w:bodyDiv w:val="1"/>
      <w:marLeft w:val="0"/>
      <w:marRight w:val="0"/>
      <w:marTop w:val="0"/>
      <w:marBottom w:val="0"/>
      <w:divBdr>
        <w:top w:val="none" w:sz="0" w:space="0" w:color="auto"/>
        <w:left w:val="none" w:sz="0" w:space="0" w:color="auto"/>
        <w:bottom w:val="none" w:sz="0" w:space="0" w:color="auto"/>
        <w:right w:val="none" w:sz="0" w:space="0" w:color="auto"/>
      </w:divBdr>
    </w:div>
    <w:div w:id="1012998816">
      <w:bodyDiv w:val="1"/>
      <w:marLeft w:val="0"/>
      <w:marRight w:val="0"/>
      <w:marTop w:val="0"/>
      <w:marBottom w:val="0"/>
      <w:divBdr>
        <w:top w:val="none" w:sz="0" w:space="0" w:color="auto"/>
        <w:left w:val="none" w:sz="0" w:space="0" w:color="auto"/>
        <w:bottom w:val="none" w:sz="0" w:space="0" w:color="auto"/>
        <w:right w:val="none" w:sz="0" w:space="0" w:color="auto"/>
      </w:divBdr>
    </w:div>
    <w:div w:id="1083643611">
      <w:bodyDiv w:val="1"/>
      <w:marLeft w:val="0"/>
      <w:marRight w:val="0"/>
      <w:marTop w:val="0"/>
      <w:marBottom w:val="0"/>
      <w:divBdr>
        <w:top w:val="none" w:sz="0" w:space="0" w:color="auto"/>
        <w:left w:val="none" w:sz="0" w:space="0" w:color="auto"/>
        <w:bottom w:val="none" w:sz="0" w:space="0" w:color="auto"/>
        <w:right w:val="none" w:sz="0" w:space="0" w:color="auto"/>
      </w:divBdr>
    </w:div>
    <w:div w:id="1125389948">
      <w:bodyDiv w:val="1"/>
      <w:marLeft w:val="0"/>
      <w:marRight w:val="0"/>
      <w:marTop w:val="0"/>
      <w:marBottom w:val="0"/>
      <w:divBdr>
        <w:top w:val="none" w:sz="0" w:space="0" w:color="auto"/>
        <w:left w:val="none" w:sz="0" w:space="0" w:color="auto"/>
        <w:bottom w:val="none" w:sz="0" w:space="0" w:color="auto"/>
        <w:right w:val="none" w:sz="0" w:space="0" w:color="auto"/>
      </w:divBdr>
    </w:div>
    <w:div w:id="1129543730">
      <w:bodyDiv w:val="1"/>
      <w:marLeft w:val="0"/>
      <w:marRight w:val="0"/>
      <w:marTop w:val="0"/>
      <w:marBottom w:val="0"/>
      <w:divBdr>
        <w:top w:val="none" w:sz="0" w:space="0" w:color="auto"/>
        <w:left w:val="none" w:sz="0" w:space="0" w:color="auto"/>
        <w:bottom w:val="none" w:sz="0" w:space="0" w:color="auto"/>
        <w:right w:val="none" w:sz="0" w:space="0" w:color="auto"/>
      </w:divBdr>
    </w:div>
    <w:div w:id="1135679466">
      <w:bodyDiv w:val="1"/>
      <w:marLeft w:val="0"/>
      <w:marRight w:val="0"/>
      <w:marTop w:val="0"/>
      <w:marBottom w:val="0"/>
      <w:divBdr>
        <w:top w:val="none" w:sz="0" w:space="0" w:color="auto"/>
        <w:left w:val="none" w:sz="0" w:space="0" w:color="auto"/>
        <w:bottom w:val="none" w:sz="0" w:space="0" w:color="auto"/>
        <w:right w:val="none" w:sz="0" w:space="0" w:color="auto"/>
      </w:divBdr>
    </w:div>
    <w:div w:id="1137602616">
      <w:bodyDiv w:val="1"/>
      <w:marLeft w:val="0"/>
      <w:marRight w:val="0"/>
      <w:marTop w:val="0"/>
      <w:marBottom w:val="0"/>
      <w:divBdr>
        <w:top w:val="none" w:sz="0" w:space="0" w:color="auto"/>
        <w:left w:val="none" w:sz="0" w:space="0" w:color="auto"/>
        <w:bottom w:val="none" w:sz="0" w:space="0" w:color="auto"/>
        <w:right w:val="none" w:sz="0" w:space="0" w:color="auto"/>
      </w:divBdr>
    </w:div>
    <w:div w:id="1148012977">
      <w:bodyDiv w:val="1"/>
      <w:marLeft w:val="0"/>
      <w:marRight w:val="0"/>
      <w:marTop w:val="0"/>
      <w:marBottom w:val="0"/>
      <w:divBdr>
        <w:top w:val="none" w:sz="0" w:space="0" w:color="auto"/>
        <w:left w:val="none" w:sz="0" w:space="0" w:color="auto"/>
        <w:bottom w:val="none" w:sz="0" w:space="0" w:color="auto"/>
        <w:right w:val="none" w:sz="0" w:space="0" w:color="auto"/>
      </w:divBdr>
    </w:div>
    <w:div w:id="1151755432">
      <w:bodyDiv w:val="1"/>
      <w:marLeft w:val="0"/>
      <w:marRight w:val="0"/>
      <w:marTop w:val="0"/>
      <w:marBottom w:val="0"/>
      <w:divBdr>
        <w:top w:val="none" w:sz="0" w:space="0" w:color="auto"/>
        <w:left w:val="none" w:sz="0" w:space="0" w:color="auto"/>
        <w:bottom w:val="none" w:sz="0" w:space="0" w:color="auto"/>
        <w:right w:val="none" w:sz="0" w:space="0" w:color="auto"/>
      </w:divBdr>
    </w:div>
    <w:div w:id="1209994798">
      <w:bodyDiv w:val="1"/>
      <w:marLeft w:val="0"/>
      <w:marRight w:val="0"/>
      <w:marTop w:val="0"/>
      <w:marBottom w:val="0"/>
      <w:divBdr>
        <w:top w:val="none" w:sz="0" w:space="0" w:color="auto"/>
        <w:left w:val="none" w:sz="0" w:space="0" w:color="auto"/>
        <w:bottom w:val="none" w:sz="0" w:space="0" w:color="auto"/>
        <w:right w:val="none" w:sz="0" w:space="0" w:color="auto"/>
      </w:divBdr>
    </w:div>
    <w:div w:id="1227448653">
      <w:bodyDiv w:val="1"/>
      <w:marLeft w:val="0"/>
      <w:marRight w:val="0"/>
      <w:marTop w:val="0"/>
      <w:marBottom w:val="0"/>
      <w:divBdr>
        <w:top w:val="none" w:sz="0" w:space="0" w:color="auto"/>
        <w:left w:val="none" w:sz="0" w:space="0" w:color="auto"/>
        <w:bottom w:val="none" w:sz="0" w:space="0" w:color="auto"/>
        <w:right w:val="none" w:sz="0" w:space="0" w:color="auto"/>
      </w:divBdr>
    </w:div>
    <w:div w:id="1238051798">
      <w:bodyDiv w:val="1"/>
      <w:marLeft w:val="0"/>
      <w:marRight w:val="0"/>
      <w:marTop w:val="0"/>
      <w:marBottom w:val="0"/>
      <w:divBdr>
        <w:top w:val="none" w:sz="0" w:space="0" w:color="auto"/>
        <w:left w:val="none" w:sz="0" w:space="0" w:color="auto"/>
        <w:bottom w:val="none" w:sz="0" w:space="0" w:color="auto"/>
        <w:right w:val="none" w:sz="0" w:space="0" w:color="auto"/>
      </w:divBdr>
    </w:div>
    <w:div w:id="1253777574">
      <w:bodyDiv w:val="1"/>
      <w:marLeft w:val="0"/>
      <w:marRight w:val="0"/>
      <w:marTop w:val="0"/>
      <w:marBottom w:val="0"/>
      <w:divBdr>
        <w:top w:val="none" w:sz="0" w:space="0" w:color="auto"/>
        <w:left w:val="none" w:sz="0" w:space="0" w:color="auto"/>
        <w:bottom w:val="none" w:sz="0" w:space="0" w:color="auto"/>
        <w:right w:val="none" w:sz="0" w:space="0" w:color="auto"/>
      </w:divBdr>
    </w:div>
    <w:div w:id="1295867413">
      <w:bodyDiv w:val="1"/>
      <w:marLeft w:val="0"/>
      <w:marRight w:val="0"/>
      <w:marTop w:val="0"/>
      <w:marBottom w:val="0"/>
      <w:divBdr>
        <w:top w:val="none" w:sz="0" w:space="0" w:color="auto"/>
        <w:left w:val="none" w:sz="0" w:space="0" w:color="auto"/>
        <w:bottom w:val="none" w:sz="0" w:space="0" w:color="auto"/>
        <w:right w:val="none" w:sz="0" w:space="0" w:color="auto"/>
      </w:divBdr>
    </w:div>
    <w:div w:id="1337852945">
      <w:bodyDiv w:val="1"/>
      <w:marLeft w:val="0"/>
      <w:marRight w:val="0"/>
      <w:marTop w:val="0"/>
      <w:marBottom w:val="0"/>
      <w:divBdr>
        <w:top w:val="none" w:sz="0" w:space="0" w:color="auto"/>
        <w:left w:val="none" w:sz="0" w:space="0" w:color="auto"/>
        <w:bottom w:val="none" w:sz="0" w:space="0" w:color="auto"/>
        <w:right w:val="none" w:sz="0" w:space="0" w:color="auto"/>
      </w:divBdr>
    </w:div>
    <w:div w:id="1341351426">
      <w:bodyDiv w:val="1"/>
      <w:marLeft w:val="0"/>
      <w:marRight w:val="0"/>
      <w:marTop w:val="0"/>
      <w:marBottom w:val="0"/>
      <w:divBdr>
        <w:top w:val="none" w:sz="0" w:space="0" w:color="auto"/>
        <w:left w:val="none" w:sz="0" w:space="0" w:color="auto"/>
        <w:bottom w:val="none" w:sz="0" w:space="0" w:color="auto"/>
        <w:right w:val="none" w:sz="0" w:space="0" w:color="auto"/>
      </w:divBdr>
    </w:div>
    <w:div w:id="1348019613">
      <w:bodyDiv w:val="1"/>
      <w:marLeft w:val="0"/>
      <w:marRight w:val="0"/>
      <w:marTop w:val="0"/>
      <w:marBottom w:val="0"/>
      <w:divBdr>
        <w:top w:val="none" w:sz="0" w:space="0" w:color="auto"/>
        <w:left w:val="none" w:sz="0" w:space="0" w:color="auto"/>
        <w:bottom w:val="none" w:sz="0" w:space="0" w:color="auto"/>
        <w:right w:val="none" w:sz="0" w:space="0" w:color="auto"/>
      </w:divBdr>
    </w:div>
    <w:div w:id="1374891531">
      <w:bodyDiv w:val="1"/>
      <w:marLeft w:val="0"/>
      <w:marRight w:val="0"/>
      <w:marTop w:val="0"/>
      <w:marBottom w:val="0"/>
      <w:divBdr>
        <w:top w:val="none" w:sz="0" w:space="0" w:color="auto"/>
        <w:left w:val="none" w:sz="0" w:space="0" w:color="auto"/>
        <w:bottom w:val="none" w:sz="0" w:space="0" w:color="auto"/>
        <w:right w:val="none" w:sz="0" w:space="0" w:color="auto"/>
      </w:divBdr>
    </w:div>
    <w:div w:id="1561483330">
      <w:bodyDiv w:val="1"/>
      <w:marLeft w:val="0"/>
      <w:marRight w:val="0"/>
      <w:marTop w:val="0"/>
      <w:marBottom w:val="0"/>
      <w:divBdr>
        <w:top w:val="none" w:sz="0" w:space="0" w:color="auto"/>
        <w:left w:val="none" w:sz="0" w:space="0" w:color="auto"/>
        <w:bottom w:val="none" w:sz="0" w:space="0" w:color="auto"/>
        <w:right w:val="none" w:sz="0" w:space="0" w:color="auto"/>
      </w:divBdr>
    </w:div>
    <w:div w:id="1566254375">
      <w:bodyDiv w:val="1"/>
      <w:marLeft w:val="0"/>
      <w:marRight w:val="0"/>
      <w:marTop w:val="0"/>
      <w:marBottom w:val="0"/>
      <w:divBdr>
        <w:top w:val="none" w:sz="0" w:space="0" w:color="auto"/>
        <w:left w:val="none" w:sz="0" w:space="0" w:color="auto"/>
        <w:bottom w:val="none" w:sz="0" w:space="0" w:color="auto"/>
        <w:right w:val="none" w:sz="0" w:space="0" w:color="auto"/>
      </w:divBdr>
    </w:div>
    <w:div w:id="1612202436">
      <w:bodyDiv w:val="1"/>
      <w:marLeft w:val="0"/>
      <w:marRight w:val="0"/>
      <w:marTop w:val="0"/>
      <w:marBottom w:val="0"/>
      <w:divBdr>
        <w:top w:val="none" w:sz="0" w:space="0" w:color="auto"/>
        <w:left w:val="none" w:sz="0" w:space="0" w:color="auto"/>
        <w:bottom w:val="none" w:sz="0" w:space="0" w:color="auto"/>
        <w:right w:val="none" w:sz="0" w:space="0" w:color="auto"/>
      </w:divBdr>
    </w:div>
    <w:div w:id="1617172597">
      <w:bodyDiv w:val="1"/>
      <w:marLeft w:val="0"/>
      <w:marRight w:val="0"/>
      <w:marTop w:val="0"/>
      <w:marBottom w:val="0"/>
      <w:divBdr>
        <w:top w:val="none" w:sz="0" w:space="0" w:color="auto"/>
        <w:left w:val="none" w:sz="0" w:space="0" w:color="auto"/>
        <w:bottom w:val="none" w:sz="0" w:space="0" w:color="auto"/>
        <w:right w:val="none" w:sz="0" w:space="0" w:color="auto"/>
      </w:divBdr>
    </w:div>
    <w:div w:id="1654290152">
      <w:bodyDiv w:val="1"/>
      <w:marLeft w:val="0"/>
      <w:marRight w:val="0"/>
      <w:marTop w:val="0"/>
      <w:marBottom w:val="0"/>
      <w:divBdr>
        <w:top w:val="none" w:sz="0" w:space="0" w:color="auto"/>
        <w:left w:val="none" w:sz="0" w:space="0" w:color="auto"/>
        <w:bottom w:val="none" w:sz="0" w:space="0" w:color="auto"/>
        <w:right w:val="none" w:sz="0" w:space="0" w:color="auto"/>
      </w:divBdr>
    </w:div>
    <w:div w:id="1662730799">
      <w:bodyDiv w:val="1"/>
      <w:marLeft w:val="0"/>
      <w:marRight w:val="0"/>
      <w:marTop w:val="0"/>
      <w:marBottom w:val="0"/>
      <w:divBdr>
        <w:top w:val="none" w:sz="0" w:space="0" w:color="auto"/>
        <w:left w:val="none" w:sz="0" w:space="0" w:color="auto"/>
        <w:bottom w:val="none" w:sz="0" w:space="0" w:color="auto"/>
        <w:right w:val="none" w:sz="0" w:space="0" w:color="auto"/>
      </w:divBdr>
    </w:div>
    <w:div w:id="1699355052">
      <w:bodyDiv w:val="1"/>
      <w:marLeft w:val="0"/>
      <w:marRight w:val="0"/>
      <w:marTop w:val="0"/>
      <w:marBottom w:val="0"/>
      <w:divBdr>
        <w:top w:val="none" w:sz="0" w:space="0" w:color="auto"/>
        <w:left w:val="none" w:sz="0" w:space="0" w:color="auto"/>
        <w:bottom w:val="none" w:sz="0" w:space="0" w:color="auto"/>
        <w:right w:val="none" w:sz="0" w:space="0" w:color="auto"/>
      </w:divBdr>
    </w:div>
    <w:div w:id="1730227735">
      <w:bodyDiv w:val="1"/>
      <w:marLeft w:val="0"/>
      <w:marRight w:val="0"/>
      <w:marTop w:val="0"/>
      <w:marBottom w:val="0"/>
      <w:divBdr>
        <w:top w:val="none" w:sz="0" w:space="0" w:color="auto"/>
        <w:left w:val="none" w:sz="0" w:space="0" w:color="auto"/>
        <w:bottom w:val="none" w:sz="0" w:space="0" w:color="auto"/>
        <w:right w:val="none" w:sz="0" w:space="0" w:color="auto"/>
      </w:divBdr>
    </w:div>
    <w:div w:id="1747803979">
      <w:bodyDiv w:val="1"/>
      <w:marLeft w:val="0"/>
      <w:marRight w:val="0"/>
      <w:marTop w:val="0"/>
      <w:marBottom w:val="0"/>
      <w:divBdr>
        <w:top w:val="none" w:sz="0" w:space="0" w:color="auto"/>
        <w:left w:val="none" w:sz="0" w:space="0" w:color="auto"/>
        <w:bottom w:val="none" w:sz="0" w:space="0" w:color="auto"/>
        <w:right w:val="none" w:sz="0" w:space="0" w:color="auto"/>
      </w:divBdr>
    </w:div>
    <w:div w:id="1751270997">
      <w:bodyDiv w:val="1"/>
      <w:marLeft w:val="0"/>
      <w:marRight w:val="0"/>
      <w:marTop w:val="0"/>
      <w:marBottom w:val="0"/>
      <w:divBdr>
        <w:top w:val="none" w:sz="0" w:space="0" w:color="auto"/>
        <w:left w:val="none" w:sz="0" w:space="0" w:color="auto"/>
        <w:bottom w:val="none" w:sz="0" w:space="0" w:color="auto"/>
        <w:right w:val="none" w:sz="0" w:space="0" w:color="auto"/>
      </w:divBdr>
    </w:div>
    <w:div w:id="1784691421">
      <w:bodyDiv w:val="1"/>
      <w:marLeft w:val="0"/>
      <w:marRight w:val="0"/>
      <w:marTop w:val="0"/>
      <w:marBottom w:val="0"/>
      <w:divBdr>
        <w:top w:val="none" w:sz="0" w:space="0" w:color="auto"/>
        <w:left w:val="none" w:sz="0" w:space="0" w:color="auto"/>
        <w:bottom w:val="none" w:sz="0" w:space="0" w:color="auto"/>
        <w:right w:val="none" w:sz="0" w:space="0" w:color="auto"/>
      </w:divBdr>
    </w:div>
    <w:div w:id="1865360672">
      <w:bodyDiv w:val="1"/>
      <w:marLeft w:val="0"/>
      <w:marRight w:val="0"/>
      <w:marTop w:val="0"/>
      <w:marBottom w:val="0"/>
      <w:divBdr>
        <w:top w:val="none" w:sz="0" w:space="0" w:color="auto"/>
        <w:left w:val="none" w:sz="0" w:space="0" w:color="auto"/>
        <w:bottom w:val="none" w:sz="0" w:space="0" w:color="auto"/>
        <w:right w:val="none" w:sz="0" w:space="0" w:color="auto"/>
      </w:divBdr>
    </w:div>
    <w:div w:id="1895701779">
      <w:bodyDiv w:val="1"/>
      <w:marLeft w:val="0"/>
      <w:marRight w:val="0"/>
      <w:marTop w:val="0"/>
      <w:marBottom w:val="0"/>
      <w:divBdr>
        <w:top w:val="none" w:sz="0" w:space="0" w:color="auto"/>
        <w:left w:val="none" w:sz="0" w:space="0" w:color="auto"/>
        <w:bottom w:val="none" w:sz="0" w:space="0" w:color="auto"/>
        <w:right w:val="none" w:sz="0" w:space="0" w:color="auto"/>
      </w:divBdr>
    </w:div>
    <w:div w:id="1902053260">
      <w:bodyDiv w:val="1"/>
      <w:marLeft w:val="0"/>
      <w:marRight w:val="0"/>
      <w:marTop w:val="0"/>
      <w:marBottom w:val="0"/>
      <w:divBdr>
        <w:top w:val="none" w:sz="0" w:space="0" w:color="auto"/>
        <w:left w:val="none" w:sz="0" w:space="0" w:color="auto"/>
        <w:bottom w:val="none" w:sz="0" w:space="0" w:color="auto"/>
        <w:right w:val="none" w:sz="0" w:space="0" w:color="auto"/>
      </w:divBdr>
    </w:div>
    <w:div w:id="1949698957">
      <w:bodyDiv w:val="1"/>
      <w:marLeft w:val="0"/>
      <w:marRight w:val="0"/>
      <w:marTop w:val="0"/>
      <w:marBottom w:val="0"/>
      <w:divBdr>
        <w:top w:val="none" w:sz="0" w:space="0" w:color="auto"/>
        <w:left w:val="none" w:sz="0" w:space="0" w:color="auto"/>
        <w:bottom w:val="none" w:sz="0" w:space="0" w:color="auto"/>
        <w:right w:val="none" w:sz="0" w:space="0" w:color="auto"/>
      </w:divBdr>
    </w:div>
    <w:div w:id="2040472327">
      <w:bodyDiv w:val="1"/>
      <w:marLeft w:val="0"/>
      <w:marRight w:val="0"/>
      <w:marTop w:val="0"/>
      <w:marBottom w:val="0"/>
      <w:divBdr>
        <w:top w:val="none" w:sz="0" w:space="0" w:color="auto"/>
        <w:left w:val="none" w:sz="0" w:space="0" w:color="auto"/>
        <w:bottom w:val="none" w:sz="0" w:space="0" w:color="auto"/>
        <w:right w:val="none" w:sz="0" w:space="0" w:color="auto"/>
      </w:divBdr>
    </w:div>
    <w:div w:id="2047870757">
      <w:bodyDiv w:val="1"/>
      <w:marLeft w:val="0"/>
      <w:marRight w:val="0"/>
      <w:marTop w:val="0"/>
      <w:marBottom w:val="0"/>
      <w:divBdr>
        <w:top w:val="none" w:sz="0" w:space="0" w:color="auto"/>
        <w:left w:val="none" w:sz="0" w:space="0" w:color="auto"/>
        <w:bottom w:val="none" w:sz="0" w:space="0" w:color="auto"/>
        <w:right w:val="none" w:sz="0" w:space="0" w:color="auto"/>
      </w:divBdr>
    </w:div>
    <w:div w:id="2065523308">
      <w:bodyDiv w:val="1"/>
      <w:marLeft w:val="0"/>
      <w:marRight w:val="0"/>
      <w:marTop w:val="0"/>
      <w:marBottom w:val="0"/>
      <w:divBdr>
        <w:top w:val="none" w:sz="0" w:space="0" w:color="auto"/>
        <w:left w:val="none" w:sz="0" w:space="0" w:color="auto"/>
        <w:bottom w:val="none" w:sz="0" w:space="0" w:color="auto"/>
        <w:right w:val="none" w:sz="0" w:space="0" w:color="auto"/>
      </w:divBdr>
    </w:div>
    <w:div w:id="2096320387">
      <w:bodyDiv w:val="1"/>
      <w:marLeft w:val="0"/>
      <w:marRight w:val="0"/>
      <w:marTop w:val="0"/>
      <w:marBottom w:val="0"/>
      <w:divBdr>
        <w:top w:val="none" w:sz="0" w:space="0" w:color="auto"/>
        <w:left w:val="none" w:sz="0" w:space="0" w:color="auto"/>
        <w:bottom w:val="none" w:sz="0" w:space="0" w:color="auto"/>
        <w:right w:val="none" w:sz="0" w:space="0" w:color="auto"/>
      </w:divBdr>
    </w:div>
    <w:div w:id="2137671699">
      <w:bodyDiv w:val="1"/>
      <w:marLeft w:val="0"/>
      <w:marRight w:val="0"/>
      <w:marTop w:val="0"/>
      <w:marBottom w:val="0"/>
      <w:divBdr>
        <w:top w:val="none" w:sz="0" w:space="0" w:color="auto"/>
        <w:left w:val="none" w:sz="0" w:space="0" w:color="auto"/>
        <w:bottom w:val="none" w:sz="0" w:space="0" w:color="auto"/>
        <w:right w:val="none" w:sz="0" w:space="0" w:color="auto"/>
      </w:divBdr>
    </w:div>
    <w:div w:id="213805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0E572-10EA-4BB7-A057-58017B3A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4088</Words>
  <Characters>23303</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Di Caprera</dc:creator>
  <cp:lastModifiedBy>Sabrina</cp:lastModifiedBy>
  <cp:revision>2</cp:revision>
  <cp:lastPrinted>2024-06-26T07:07:00Z</cp:lastPrinted>
  <dcterms:created xsi:type="dcterms:W3CDTF">2025-06-17T07:38:00Z</dcterms:created>
  <dcterms:modified xsi:type="dcterms:W3CDTF">2025-06-17T07:38:00Z</dcterms:modified>
</cp:coreProperties>
</file>